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ED" w:rsidRDefault="00A721ED" w:rsidP="00A721ED">
      <w:pPr>
        <w:pStyle w:val="Title"/>
      </w:pPr>
      <w:r>
        <w:t xml:space="preserve">Response of IP to Malayalam </w:t>
      </w:r>
      <w:r w:rsidR="00377A18">
        <w:t xml:space="preserve">Draft </w:t>
      </w:r>
      <w:r>
        <w:t>LGR of 11</w:t>
      </w:r>
      <w:r w:rsidRPr="000D4357">
        <w:rPr>
          <w:vertAlign w:val="superscript"/>
        </w:rPr>
        <w:t>th</w:t>
      </w:r>
      <w:r>
        <w:t xml:space="preserve"> May 2018</w:t>
      </w:r>
    </w:p>
    <w:p w:rsidR="00A721ED" w:rsidRDefault="00D7142E" w:rsidP="00A721ED">
      <w:pPr>
        <w:rPr>
          <w:rFonts w:eastAsia="Times New Roman"/>
        </w:rPr>
      </w:pPr>
      <w:r>
        <w:rPr>
          <w:rFonts w:eastAsia="Times New Roman"/>
        </w:rPr>
        <w:t>DATE: 2018-05-2</w:t>
      </w:r>
      <w:r w:rsidR="003929D7">
        <w:rPr>
          <w:rFonts w:eastAsia="Times New Roman"/>
        </w:rPr>
        <w:t>4</w:t>
      </w:r>
    </w:p>
    <w:p w:rsidR="00A721ED" w:rsidRDefault="00A721ED" w:rsidP="00A721ED">
      <w:pPr>
        <w:pStyle w:val="Heading1"/>
      </w:pPr>
      <w:r>
        <w:t>Overview</w:t>
      </w:r>
    </w:p>
    <w:p w:rsidR="00A721ED" w:rsidRDefault="00A721ED" w:rsidP="00A721ED">
      <w:r w:rsidRPr="00B55C26">
        <w:t xml:space="preserve">This </w:t>
      </w:r>
      <w:r>
        <w:t>document provides IP response to the Malayalam LGR proposal dated 2018-05-11.</w:t>
      </w:r>
    </w:p>
    <w:p w:rsidR="00A721ED" w:rsidRDefault="00A721ED" w:rsidP="00A721ED">
      <w:pPr>
        <w:pStyle w:val="Heading1"/>
      </w:pPr>
      <w:r>
        <w:t>General Comments</w:t>
      </w:r>
    </w:p>
    <w:tbl>
      <w:tblPr>
        <w:tblStyle w:val="TableGrid"/>
        <w:tblW w:w="0" w:type="auto"/>
        <w:tblLook w:val="04A0"/>
      </w:tblPr>
      <w:tblGrid>
        <w:gridCol w:w="1212"/>
        <w:gridCol w:w="6126"/>
        <w:gridCol w:w="2238"/>
      </w:tblGrid>
      <w:tr w:rsidR="00A721ED" w:rsidRPr="004319D6" w:rsidTr="002E28A1">
        <w:tc>
          <w:tcPr>
            <w:tcW w:w="1212" w:type="dxa"/>
          </w:tcPr>
          <w:p w:rsidR="00A721ED" w:rsidRPr="004319D6" w:rsidRDefault="00A721ED" w:rsidP="009D484C">
            <w:pPr>
              <w:rPr>
                <w:b/>
                <w:bCs/>
              </w:rPr>
            </w:pPr>
            <w:r w:rsidRPr="004319D6">
              <w:rPr>
                <w:b/>
                <w:bCs/>
              </w:rPr>
              <w:t>Item</w:t>
            </w:r>
          </w:p>
        </w:tc>
        <w:tc>
          <w:tcPr>
            <w:tcW w:w="5524" w:type="dxa"/>
          </w:tcPr>
          <w:p w:rsidR="00A721ED" w:rsidRPr="004319D6" w:rsidRDefault="00A721ED" w:rsidP="009D484C">
            <w:pPr>
              <w:rPr>
                <w:b/>
                <w:bCs/>
              </w:rPr>
            </w:pPr>
            <w:r w:rsidRPr="004319D6">
              <w:rPr>
                <w:b/>
                <w:bCs/>
              </w:rPr>
              <w:t>Issue</w:t>
            </w:r>
          </w:p>
        </w:tc>
        <w:tc>
          <w:tcPr>
            <w:tcW w:w="2840" w:type="dxa"/>
          </w:tcPr>
          <w:p w:rsidR="00A721ED" w:rsidRPr="004319D6" w:rsidRDefault="00A721ED" w:rsidP="009D484C">
            <w:pPr>
              <w:rPr>
                <w:b/>
                <w:bCs/>
              </w:rPr>
            </w:pPr>
            <w:r w:rsidRPr="004319D6">
              <w:rPr>
                <w:b/>
                <w:bCs/>
              </w:rPr>
              <w:t>IP Comment</w:t>
            </w:r>
          </w:p>
        </w:tc>
      </w:tr>
      <w:tr w:rsidR="00BC02A7" w:rsidTr="002E28A1">
        <w:tc>
          <w:tcPr>
            <w:tcW w:w="1212" w:type="dxa"/>
          </w:tcPr>
          <w:p w:rsidR="00BC02A7" w:rsidRDefault="00BC02A7" w:rsidP="009D484C">
            <w:pPr>
              <w:rPr>
                <w:lang w:val="de-DE"/>
              </w:rPr>
            </w:pPr>
            <w:r>
              <w:rPr>
                <w:lang w:val="de-DE"/>
              </w:rPr>
              <w:t>Current situation</w:t>
            </w:r>
          </w:p>
        </w:tc>
        <w:tc>
          <w:tcPr>
            <w:tcW w:w="5524" w:type="dxa"/>
          </w:tcPr>
          <w:p w:rsidR="00BC02A7" w:rsidRDefault="00BC02A7" w:rsidP="00BC02A7">
            <w:pPr>
              <w:pStyle w:val="ListParagraph"/>
              <w:ind w:left="0"/>
            </w:pPr>
            <w:r>
              <w:t>This marks the first response by the IP to a draft LGR for the Malayalam script. We understand that this is an initial draft that may therefore take</w:t>
            </w:r>
            <w:r w:rsidR="006C08F7">
              <w:t xml:space="preserve"> significant edits and</w:t>
            </w:r>
            <w:r>
              <w:t xml:space="preserve"> additional rounds of feedback before completion.</w:t>
            </w:r>
          </w:p>
        </w:tc>
        <w:tc>
          <w:tcPr>
            <w:tcW w:w="2840" w:type="dxa"/>
          </w:tcPr>
          <w:p w:rsidR="00BC02A7" w:rsidRDefault="00BC02A7" w:rsidP="009D484C"/>
        </w:tc>
      </w:tr>
      <w:tr w:rsidR="006C08F7" w:rsidTr="002E28A1">
        <w:tc>
          <w:tcPr>
            <w:tcW w:w="1212" w:type="dxa"/>
          </w:tcPr>
          <w:p w:rsidR="006C08F7" w:rsidRDefault="006C08F7" w:rsidP="009D484C">
            <w:pPr>
              <w:rPr>
                <w:lang w:val="de-DE"/>
              </w:rPr>
            </w:pPr>
            <w:r>
              <w:rPr>
                <w:lang w:val="de-DE"/>
              </w:rPr>
              <w:t>Font Size</w:t>
            </w:r>
          </w:p>
        </w:tc>
        <w:tc>
          <w:tcPr>
            <w:tcW w:w="5524" w:type="dxa"/>
          </w:tcPr>
          <w:p w:rsidR="006C08F7" w:rsidRDefault="006C08F7" w:rsidP="006C08F7">
            <w:pPr>
              <w:pStyle w:val="ListParagraph"/>
              <w:ind w:left="0"/>
            </w:pPr>
            <w:r>
              <w:t>A general problem with the Proposal as submitted is the size of font used for Malayalam. It makes the Malayalam examples hard to read for those unfamiliar with the script. Although it is formally 10-point (comparable with the English script used) in fact it seems less than half the height as rendered. (</w:t>
            </w:r>
            <w:proofErr w:type="gramStart"/>
            <w:r>
              <w:t>And</w:t>
            </w:r>
            <w:proofErr w:type="gramEnd"/>
            <w:r>
              <w:t xml:space="preserve"> of course, Malayalam characters are typically much more intricate than Latin characters.) </w:t>
            </w:r>
            <w:proofErr w:type="gramStart"/>
            <w:r>
              <w:t>Also</w:t>
            </w:r>
            <w:proofErr w:type="gramEnd"/>
            <w:r>
              <w:t>, wherever possible, code points should be provided as well.</w:t>
            </w:r>
          </w:p>
        </w:tc>
        <w:tc>
          <w:tcPr>
            <w:tcW w:w="2840" w:type="dxa"/>
          </w:tcPr>
          <w:p w:rsidR="006C08F7" w:rsidDel="006C08F7" w:rsidRDefault="006C08F7" w:rsidP="009D484C">
            <w:r>
              <w:t>Please fix.</w:t>
            </w:r>
          </w:p>
        </w:tc>
      </w:tr>
      <w:tr w:rsidR="005B6D75" w:rsidTr="002E28A1">
        <w:tc>
          <w:tcPr>
            <w:tcW w:w="1212" w:type="dxa"/>
          </w:tcPr>
          <w:p w:rsidR="005B6D75" w:rsidRDefault="005B6D75" w:rsidP="009D484C">
            <w:pPr>
              <w:rPr>
                <w:lang w:val="de-DE"/>
              </w:rPr>
            </w:pPr>
            <w:r>
              <w:rPr>
                <w:lang w:val="de-DE"/>
              </w:rPr>
              <w:t>§ 3.1</w:t>
            </w:r>
          </w:p>
        </w:tc>
        <w:tc>
          <w:tcPr>
            <w:tcW w:w="5524" w:type="dxa"/>
          </w:tcPr>
          <w:p w:rsidR="005B6D75" w:rsidRDefault="005B6D75" w:rsidP="005B6D75">
            <w:pPr>
              <w:pStyle w:val="ListParagraph"/>
              <w:ind w:left="0"/>
            </w:pPr>
            <w:r>
              <w:t>Please change the reference into a standard numbered reference with full entry in the Reference section</w:t>
            </w:r>
          </w:p>
        </w:tc>
        <w:tc>
          <w:tcPr>
            <w:tcW w:w="2840" w:type="dxa"/>
          </w:tcPr>
          <w:p w:rsidR="005B6D75" w:rsidRDefault="006C08F7" w:rsidP="009D484C">
            <w:r>
              <w:t xml:space="preserve">Please </w:t>
            </w:r>
            <w:r w:rsidR="005B6D75">
              <w:t>fix</w:t>
            </w:r>
            <w:r>
              <w:t>.</w:t>
            </w:r>
          </w:p>
        </w:tc>
      </w:tr>
      <w:tr w:rsidR="005B6D75" w:rsidTr="00206F2D">
        <w:tc>
          <w:tcPr>
            <w:tcW w:w="1212" w:type="dxa"/>
          </w:tcPr>
          <w:p w:rsidR="005B6D75" w:rsidRDefault="005B6D75" w:rsidP="00206F2D">
            <w:r>
              <w:rPr>
                <w:lang w:val="de-DE"/>
              </w:rPr>
              <w:t xml:space="preserve">§ 3.1 </w:t>
            </w:r>
            <w:r>
              <w:t>Joiner</w:t>
            </w:r>
          </w:p>
        </w:tc>
        <w:tc>
          <w:tcPr>
            <w:tcW w:w="5524" w:type="dxa"/>
          </w:tcPr>
          <w:p w:rsidR="005B6D75" w:rsidRPr="00377A18" w:rsidRDefault="005B6D75" w:rsidP="00206F2D">
            <w:pPr>
              <w:spacing w:before="100" w:beforeAutospacing="1" w:after="100" w:afterAutospacing="1"/>
            </w:pPr>
            <w:r w:rsidRPr="00377A18">
              <w:t>Zero-width joiner and Zero-width non-joiner are not part of the MSR, because the Procedure rules out any CONTEXTJ code points.</w:t>
            </w:r>
          </w:p>
          <w:p w:rsidR="005B6D75" w:rsidRPr="00377A18" w:rsidRDefault="005B6D75" w:rsidP="00206F2D">
            <w:pPr>
              <w:spacing w:before="100" w:beforeAutospacing="1" w:after="100" w:afterAutospacing="1"/>
            </w:pPr>
            <w:r w:rsidRPr="00377A18">
              <w:t>However, these code points are commonly used in Indic scripts to control the formation of conjuncts. That means that not incorporating them into an LGR prevents certain terms from being displayed and/or represented correctly.</w:t>
            </w:r>
          </w:p>
          <w:p w:rsidR="005B6D75" w:rsidRPr="00377A18" w:rsidRDefault="005B6D75" w:rsidP="00206F2D">
            <w:pPr>
              <w:spacing w:before="100" w:beforeAutospacing="1" w:after="100" w:afterAutospacing="1"/>
            </w:pPr>
            <w:r w:rsidRPr="00377A18">
              <w:t xml:space="preserve">We do have in all </w:t>
            </w:r>
            <w:proofErr w:type="spellStart"/>
            <w:r w:rsidRPr="00377A18">
              <w:t>NeoB</w:t>
            </w:r>
            <w:proofErr w:type="spellEnd"/>
            <w:r w:rsidRPr="00377A18">
              <w:t xml:space="preserve"> LGRs a part (§ 3) that purports to give the background information for the script; these chapters go into </w:t>
            </w:r>
            <w:proofErr w:type="gramStart"/>
            <w:r w:rsidRPr="00377A18">
              <w:t>great details</w:t>
            </w:r>
            <w:proofErr w:type="gramEnd"/>
            <w:r w:rsidRPr="00377A18">
              <w:t xml:space="preserve"> on things like the early history, but are curiously silent on the joiner characters.</w:t>
            </w:r>
          </w:p>
          <w:p w:rsidR="005B6D75" w:rsidRPr="00377A18" w:rsidRDefault="005B6D75" w:rsidP="00206F2D"/>
          <w:p w:rsidR="005B6D75" w:rsidRPr="00377A18" w:rsidRDefault="005B6D75" w:rsidP="00206F2D">
            <w:r w:rsidRPr="00377A18">
              <w:t>We understand that there is a placeholder for this information.</w:t>
            </w:r>
          </w:p>
        </w:tc>
        <w:tc>
          <w:tcPr>
            <w:tcW w:w="2840" w:type="dxa"/>
          </w:tcPr>
          <w:p w:rsidR="005B6D75" w:rsidRDefault="005B6D75" w:rsidP="00206F2D">
            <w:r>
              <w:t>Please complete the planned text.</w:t>
            </w:r>
          </w:p>
        </w:tc>
      </w:tr>
      <w:tr w:rsidR="00830B79" w:rsidTr="00C235CC">
        <w:tc>
          <w:tcPr>
            <w:tcW w:w="1212" w:type="dxa"/>
          </w:tcPr>
          <w:p w:rsidR="00830B79" w:rsidRDefault="00830B79" w:rsidP="00C235CC">
            <w:pPr>
              <w:rPr>
                <w:lang w:val="de-DE"/>
              </w:rPr>
            </w:pPr>
            <w:r>
              <w:rPr>
                <w:lang w:val="de-DE"/>
              </w:rPr>
              <w:t>§4 Languages considered</w:t>
            </w:r>
          </w:p>
        </w:tc>
        <w:tc>
          <w:tcPr>
            <w:tcW w:w="5524" w:type="dxa"/>
          </w:tcPr>
          <w:p w:rsidR="00830B79" w:rsidRDefault="00830B79" w:rsidP="000A2F01">
            <w:pPr>
              <w:pStyle w:val="ListParagraph"/>
              <w:numPr>
                <w:ilvl w:val="0"/>
                <w:numId w:val="11"/>
              </w:numPr>
            </w:pPr>
            <w:r>
              <w:t>If Malayalam is the only relevant language, then this can be stated in a single sentence (w/o EGIDS and using table). Otherwise, please complete the information.</w:t>
            </w:r>
          </w:p>
          <w:p w:rsidR="000A2F01" w:rsidRPr="000A2F01" w:rsidRDefault="000A2F01" w:rsidP="000A2F01">
            <w:pPr>
              <w:pStyle w:val="ListParagraph"/>
              <w:numPr>
                <w:ilvl w:val="0"/>
                <w:numId w:val="11"/>
              </w:numPr>
            </w:pPr>
            <w:r>
              <w:t>It might be useful to have a subsection on “</w:t>
            </w:r>
            <w:r w:rsidRPr="000A2F01">
              <w:t>The Structure of Written Malayalam,</w:t>
            </w:r>
            <w:r>
              <w:t>”</w:t>
            </w:r>
            <w:r w:rsidRPr="000A2F01">
              <w:t xml:space="preserve"> containing tables of the different classes of character (vowels and characters) plus anything distinctive about ways they are structured or presented. This would be particularly helpful </w:t>
            </w:r>
            <w:proofErr w:type="gramStart"/>
            <w:r w:rsidRPr="000A2F01">
              <w:t>since it appears that there has been some change in the system of characters in practical use, so the GP should show which system it supports</w:t>
            </w:r>
            <w:proofErr w:type="gramEnd"/>
            <w:r w:rsidRPr="000A2F01">
              <w:t>. (As it is, we only get two schematic paragraphs on "Orthography reform" in sub-section 3.1, without any specifics.)</w:t>
            </w:r>
          </w:p>
          <w:p w:rsidR="000A2F01" w:rsidRPr="000A2F01" w:rsidRDefault="000A2F01" w:rsidP="000A2F01">
            <w:pPr>
              <w:pStyle w:val="ListParagraph"/>
              <w:numPr>
                <w:ilvl w:val="0"/>
                <w:numId w:val="11"/>
              </w:numPr>
            </w:pPr>
            <w:r w:rsidRPr="000A2F01">
              <w:t>The</w:t>
            </w:r>
            <w:proofErr w:type="gramStart"/>
            <w:r w:rsidRPr="000A2F01">
              <w:t>  CHILLU</w:t>
            </w:r>
            <w:proofErr w:type="gramEnd"/>
            <w:r w:rsidRPr="000A2F01">
              <w:t xml:space="preserve"> series could usefully be introduced here, and shown in interaction with VIRAMA and possibly also ZWJ/ZWNJ (these have been promised already); it would also be useful to see the extent of conjunct consonants in use, and how the GP's proposal represents them. </w:t>
            </w:r>
            <w:proofErr w:type="gramStart"/>
            <w:r w:rsidRPr="000A2F01">
              <w:t>Also</w:t>
            </w:r>
            <w:proofErr w:type="gramEnd"/>
            <w:r w:rsidRPr="000A2F01">
              <w:t xml:space="preserve"> how does "CHILLU" relate to "CHILLAKSHARAM" and "SAMVRUTHOKARAM"?</w:t>
            </w:r>
          </w:p>
          <w:p w:rsidR="000A2F01" w:rsidRPr="000A2F01" w:rsidRDefault="000A2F01" w:rsidP="000A2F01">
            <w:pPr>
              <w:pStyle w:val="ListParagraph"/>
              <w:numPr>
                <w:ilvl w:val="0"/>
                <w:numId w:val="11"/>
              </w:numPr>
            </w:pPr>
            <w:r w:rsidRPr="000A2F01">
              <w:t xml:space="preserve">Also, we need explanation of what consonant diacritics are (as per sub-section 5.8) and what </w:t>
            </w:r>
            <w:proofErr w:type="spellStart"/>
            <w:r w:rsidRPr="000A2F01">
              <w:t>samvruthokarams</w:t>
            </w:r>
            <w:proofErr w:type="spellEnd"/>
            <w:r w:rsidRPr="000A2F01">
              <w:t xml:space="preserve"> (as per sub-section 5.9)</w:t>
            </w:r>
          </w:p>
          <w:p w:rsidR="000A2F01" w:rsidRPr="000A2F01" w:rsidRDefault="006C08F7" w:rsidP="000A2F01">
            <w:pPr>
              <w:pStyle w:val="ListParagraph"/>
              <w:numPr>
                <w:ilvl w:val="0"/>
                <w:numId w:val="11"/>
              </w:numPr>
            </w:pPr>
            <w:r>
              <w:t>The</w:t>
            </w:r>
            <w:r w:rsidR="000A2F01" w:rsidRPr="000A2F01">
              <w:t xml:space="preserve"> content of the tables in subsections 5.3 </w:t>
            </w:r>
            <w:r>
              <w:t xml:space="preserve">Vowels thru 5.9 </w:t>
            </w:r>
            <w:proofErr w:type="spellStart"/>
            <w:r>
              <w:t>Samvruthokarams</w:t>
            </w:r>
            <w:proofErr w:type="spellEnd"/>
            <w:r>
              <w:t xml:space="preserve"> could be incorporated here to separate description of the writing system from description of the repertoire of the LGR</w:t>
            </w:r>
          </w:p>
          <w:p w:rsidR="000A2F01" w:rsidRDefault="000A2F01" w:rsidP="006C08F7">
            <w:pPr>
              <w:pStyle w:val="ListParagraph"/>
            </w:pPr>
          </w:p>
          <w:p w:rsidR="000A2F01" w:rsidRDefault="000A2F01" w:rsidP="00C235CC">
            <w:pPr>
              <w:pStyle w:val="ListParagraph"/>
              <w:ind w:left="0"/>
            </w:pPr>
          </w:p>
        </w:tc>
        <w:tc>
          <w:tcPr>
            <w:tcW w:w="2840" w:type="dxa"/>
          </w:tcPr>
          <w:p w:rsidR="00830B79" w:rsidRDefault="00830B79" w:rsidP="006C08F7">
            <w:r>
              <w:t xml:space="preserve">Please </w:t>
            </w:r>
            <w:r w:rsidR="006C08F7">
              <w:t>consider these suggestions and make appropriate edits.</w:t>
            </w:r>
          </w:p>
        </w:tc>
      </w:tr>
      <w:tr w:rsidR="00830B79" w:rsidTr="00D332EE">
        <w:tc>
          <w:tcPr>
            <w:tcW w:w="1212" w:type="dxa"/>
          </w:tcPr>
          <w:p w:rsidR="00830B79" w:rsidRPr="00A721ED" w:rsidRDefault="00830B79" w:rsidP="00D332EE">
            <w:pPr>
              <w:rPr>
                <w:lang w:val="de-DE"/>
              </w:rPr>
            </w:pPr>
            <w:r>
              <w:rPr>
                <w:lang w:val="de-DE"/>
              </w:rPr>
              <w:t>§ 5, Table of repetoire</w:t>
            </w:r>
          </w:p>
        </w:tc>
        <w:tc>
          <w:tcPr>
            <w:tcW w:w="5524" w:type="dxa"/>
          </w:tcPr>
          <w:p w:rsidR="005177EB" w:rsidRDefault="00CB7A2C" w:rsidP="00D332EE">
            <w:pPr>
              <w:pStyle w:val="ListParagraph"/>
              <w:numPr>
                <w:ilvl w:val="0"/>
                <w:numId w:val="5"/>
              </w:numPr>
              <w:ind w:left="228" w:hanging="222"/>
            </w:pPr>
            <w:r>
              <w:t>The</w:t>
            </w:r>
            <w:r w:rsidR="005177EB">
              <w:t xml:space="preserve"> introductory text appears to be the wrong one. Expected: a short introduction introducing the selection of code points and exclusions documented in Section 5.</w:t>
            </w:r>
          </w:p>
          <w:p w:rsidR="00830B79" w:rsidRDefault="00830B79" w:rsidP="00D332EE">
            <w:pPr>
              <w:pStyle w:val="ListParagraph"/>
              <w:numPr>
                <w:ilvl w:val="0"/>
                <w:numId w:val="5"/>
              </w:numPr>
              <w:ind w:left="228" w:hanging="222"/>
            </w:pPr>
            <w:r>
              <w:t>Unicode general category column: the data in this column are not very interesting in the context of Malayalam, especially as more relevant data (Syllabic category) is provided. Suggest removing the Colum to make more space in the table.</w:t>
            </w:r>
          </w:p>
          <w:p w:rsidR="00830B79" w:rsidRDefault="00830B79" w:rsidP="00D332EE">
            <w:pPr>
              <w:pStyle w:val="ListParagraph"/>
              <w:numPr>
                <w:ilvl w:val="0"/>
                <w:numId w:val="5"/>
              </w:numPr>
              <w:ind w:left="228" w:hanging="222"/>
            </w:pPr>
            <w:r>
              <w:t>References for code points: the reference given is the MSR – what was except is an independent reference documenting code points in modern use.</w:t>
            </w:r>
          </w:p>
          <w:p w:rsidR="00A057D2" w:rsidRDefault="00A057D2" w:rsidP="00D332EE">
            <w:pPr>
              <w:pStyle w:val="ListParagraph"/>
              <w:numPr>
                <w:ilvl w:val="0"/>
                <w:numId w:val="5"/>
              </w:numPr>
              <w:ind w:left="228" w:hanging="222"/>
            </w:pPr>
            <w:r>
              <w:t>It would be useful to include a table of the current MSR representation of Malayalam block, before the major tabulated repertoire.</w:t>
            </w:r>
          </w:p>
        </w:tc>
        <w:tc>
          <w:tcPr>
            <w:tcW w:w="2840" w:type="dxa"/>
          </w:tcPr>
          <w:p w:rsidR="00830B79" w:rsidRDefault="00830B79" w:rsidP="00D332EE">
            <w:r>
              <w:t>Please edit</w:t>
            </w:r>
          </w:p>
        </w:tc>
      </w:tr>
      <w:tr w:rsidR="00A057D2" w:rsidTr="00D332EE">
        <w:tc>
          <w:tcPr>
            <w:tcW w:w="1212" w:type="dxa"/>
          </w:tcPr>
          <w:p w:rsidR="00A057D2" w:rsidRDefault="00A057D2" w:rsidP="00D332EE">
            <w:pPr>
              <w:rPr>
                <w:lang w:val="de-DE"/>
              </w:rPr>
            </w:pPr>
            <w:r w:rsidRPr="00A057D2">
              <w:rPr>
                <w:lang w:val="de-DE"/>
              </w:rPr>
              <w:t>§ 5.</w:t>
            </w:r>
            <w:r>
              <w:rPr>
                <w:lang w:val="de-DE"/>
              </w:rPr>
              <w:t>2</w:t>
            </w:r>
          </w:p>
        </w:tc>
        <w:tc>
          <w:tcPr>
            <w:tcW w:w="5524" w:type="dxa"/>
          </w:tcPr>
          <w:p w:rsidR="00A057D2" w:rsidDel="00CB7A2C" w:rsidRDefault="00A057D2" w:rsidP="00A057D2">
            <w:pPr>
              <w:pStyle w:val="ListParagraph"/>
              <w:numPr>
                <w:ilvl w:val="0"/>
                <w:numId w:val="9"/>
              </w:numPr>
            </w:pPr>
            <w:proofErr w:type="gramStart"/>
            <w:r>
              <w:t>Give explanation of</w:t>
            </w:r>
            <w:proofErr w:type="gramEnd"/>
            <w:r>
              <w:t xml:space="preserve"> why </w:t>
            </w:r>
            <w:r w:rsidRPr="00A057D2">
              <w:t>VOCALIC L, VOCALIC RR and LETTER NNNA are excluded.</w:t>
            </w:r>
          </w:p>
        </w:tc>
        <w:tc>
          <w:tcPr>
            <w:tcW w:w="2840" w:type="dxa"/>
          </w:tcPr>
          <w:p w:rsidR="00A057D2" w:rsidRDefault="00A057D2" w:rsidP="00D332EE">
            <w:r>
              <w:t>Please provide explanation</w:t>
            </w:r>
          </w:p>
        </w:tc>
      </w:tr>
      <w:tr w:rsidR="00A721ED" w:rsidTr="002E28A1">
        <w:tc>
          <w:tcPr>
            <w:tcW w:w="1212" w:type="dxa"/>
          </w:tcPr>
          <w:p w:rsidR="00A721ED" w:rsidRDefault="00A721ED" w:rsidP="009D484C">
            <w:r>
              <w:rPr>
                <w:lang w:val="de-DE"/>
              </w:rPr>
              <w:t xml:space="preserve">§ 5.6 </w:t>
            </w:r>
            <w:r>
              <w:t>Chillu letters</w:t>
            </w:r>
          </w:p>
        </w:tc>
        <w:tc>
          <w:tcPr>
            <w:tcW w:w="5524" w:type="dxa"/>
          </w:tcPr>
          <w:p w:rsidR="00A721ED" w:rsidRDefault="00A721ED" w:rsidP="00A721ED">
            <w:pPr>
              <w:pStyle w:val="ListParagraph"/>
              <w:numPr>
                <w:ilvl w:val="0"/>
                <w:numId w:val="3"/>
              </w:numPr>
              <w:ind w:left="268" w:hanging="268"/>
            </w:pPr>
            <w:r>
              <w:t xml:space="preserve">No code points are given </w:t>
            </w:r>
          </w:p>
          <w:p w:rsidR="00A721ED" w:rsidRDefault="00A721ED" w:rsidP="00A721ED">
            <w:pPr>
              <w:pStyle w:val="ListParagraph"/>
              <w:numPr>
                <w:ilvl w:val="0"/>
                <w:numId w:val="3"/>
              </w:numPr>
              <w:ind w:left="268" w:hanging="268"/>
            </w:pPr>
            <w:r>
              <w:t>Chillus have a pre-Unicode 5.0 encoding using sequences using Joiners. This older encoding is still prevalent in data, such as corpora and may even be in current use. The basic facts of this change of encoding should be mentioned.</w:t>
            </w:r>
          </w:p>
          <w:p w:rsidR="00A721ED" w:rsidRDefault="00A721ED" w:rsidP="00A721ED">
            <w:pPr>
              <w:pStyle w:val="ListParagraph"/>
              <w:ind w:left="268"/>
            </w:pPr>
            <w:r>
              <w:rPr>
                <w:noProof/>
                <w:lang w:bidi="km-KH"/>
              </w:rPr>
              <w:drawing>
                <wp:inline distT="0" distB="0" distL="0" distR="0">
                  <wp:extent cx="3172386" cy="1652988"/>
                  <wp:effectExtent l="19050" t="0" r="8964" b="0"/>
                  <wp:docPr id="1" name="Picture 1" descr="C:\Users\asmusf\AppData\Local\Temp\okeeilcanoei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usf\AppData\Local\Temp\okeeilcanoeinale.png"/>
                          <pic:cNvPicPr>
                            <a:picLocks noChangeAspect="1" noChangeArrowheads="1"/>
                          </pic:cNvPicPr>
                        </pic:nvPicPr>
                        <pic:blipFill>
                          <a:blip r:embed="rId6" cstate="print"/>
                          <a:srcRect/>
                          <a:stretch>
                            <a:fillRect/>
                          </a:stretch>
                        </pic:blipFill>
                        <pic:spPr bwMode="auto">
                          <a:xfrm>
                            <a:off x="0" y="0"/>
                            <a:ext cx="3178324" cy="1656082"/>
                          </a:xfrm>
                          <a:prstGeom prst="rect">
                            <a:avLst/>
                          </a:prstGeom>
                          <a:noFill/>
                          <a:ln w="9525">
                            <a:noFill/>
                            <a:miter lim="800000"/>
                            <a:headEnd/>
                            <a:tailEnd/>
                          </a:ln>
                        </pic:spPr>
                      </pic:pic>
                    </a:graphicData>
                  </a:graphic>
                </wp:inline>
              </w:drawing>
            </w:r>
          </w:p>
          <w:p w:rsidR="00A721ED" w:rsidRDefault="00A721ED" w:rsidP="00A721ED">
            <w:pPr>
              <w:pStyle w:val="ListParagraph"/>
              <w:numPr>
                <w:ilvl w:val="0"/>
                <w:numId w:val="3"/>
              </w:numPr>
              <w:ind w:left="268" w:hanging="268"/>
            </w:pPr>
            <w:r>
              <w:t>It is understood that the sequences are ruled out because the root does not allow joiners, so there is no issue with duplicate encoding (this could be mentioned).</w:t>
            </w:r>
          </w:p>
          <w:p w:rsidR="00A721ED" w:rsidRDefault="00A721ED" w:rsidP="00A721ED">
            <w:pPr>
              <w:pStyle w:val="ListParagraph"/>
              <w:numPr>
                <w:ilvl w:val="0"/>
                <w:numId w:val="3"/>
              </w:numPr>
              <w:ind w:left="268" w:hanging="268"/>
            </w:pPr>
            <w:r>
              <w:t>However, because the atomic encoding for chillus is apparently not universally used, there should be a prominent note that the RZ-LGR only allows the atomic encoding</w:t>
            </w:r>
            <w:r w:rsidR="0005427D">
              <w:t>.</w:t>
            </w:r>
          </w:p>
          <w:p w:rsidR="00A721ED" w:rsidRDefault="00A721ED" w:rsidP="00A721ED">
            <w:pPr>
              <w:pStyle w:val="ListParagraph"/>
              <w:numPr>
                <w:ilvl w:val="0"/>
                <w:numId w:val="3"/>
              </w:numPr>
              <w:ind w:left="268" w:hanging="268"/>
            </w:pPr>
            <w:r>
              <w:t>A citation of and reference to the relevant chapter (12) in the Unicode standard.</w:t>
            </w:r>
          </w:p>
          <w:p w:rsidR="00A721ED" w:rsidRDefault="00A721ED" w:rsidP="00A721ED">
            <w:pPr>
              <w:pStyle w:val="ListParagraph"/>
              <w:numPr>
                <w:ilvl w:val="0"/>
                <w:numId w:val="3"/>
              </w:numPr>
              <w:ind w:left="268" w:hanging="268"/>
            </w:pPr>
            <w:r>
              <w:t>IP notes that many references to Chillu-related issues exist in the references section, and they were very helpful in understanding the issue. However, none of them were cited from Section 5.6.</w:t>
            </w:r>
          </w:p>
        </w:tc>
        <w:tc>
          <w:tcPr>
            <w:tcW w:w="2840" w:type="dxa"/>
          </w:tcPr>
          <w:p w:rsidR="00A721ED" w:rsidRDefault="00A721ED" w:rsidP="009D484C">
            <w:r>
              <w:t>please provide code points and extend description as suggested</w:t>
            </w:r>
          </w:p>
        </w:tc>
      </w:tr>
      <w:tr w:rsidR="00A057D2" w:rsidTr="006F0907">
        <w:tc>
          <w:tcPr>
            <w:tcW w:w="1212" w:type="dxa"/>
          </w:tcPr>
          <w:p w:rsidR="00A057D2" w:rsidRDefault="00A057D2" w:rsidP="006F0907">
            <w:pPr>
              <w:rPr>
                <w:lang w:val="de-DE"/>
              </w:rPr>
            </w:pPr>
            <w:r w:rsidRPr="00A057D2">
              <w:rPr>
                <w:lang w:val="de-DE"/>
              </w:rPr>
              <w:t>§6.</w:t>
            </w:r>
            <w:r>
              <w:rPr>
                <w:lang w:val="de-DE"/>
              </w:rPr>
              <w:t>1</w:t>
            </w:r>
          </w:p>
        </w:tc>
        <w:tc>
          <w:tcPr>
            <w:tcW w:w="5524" w:type="dxa"/>
          </w:tcPr>
          <w:p w:rsidR="00A057D2" w:rsidRDefault="00A057D2" w:rsidP="00A057D2">
            <w:pPr>
              <w:spacing w:before="100" w:beforeAutospacing="1" w:after="100" w:afterAutospacing="1"/>
              <w:rPr>
                <w:rFonts w:ascii="Candara" w:hAnsi="Candara" w:cs="Times New Roman"/>
                <w:sz w:val="20"/>
                <w:szCs w:val="20"/>
              </w:rPr>
            </w:pPr>
            <w:r>
              <w:rPr>
                <w:rFonts w:ascii="Candara" w:hAnsi="Candara" w:cs="Times New Roman"/>
                <w:sz w:val="20"/>
                <w:szCs w:val="20"/>
              </w:rPr>
              <w:t>Give motivation for the variant sets (here repeated in the way they will appear in the LGR HTML document).</w:t>
            </w:r>
          </w:p>
          <w:p w:rsidR="00A057D2" w:rsidRPr="00A057D2" w:rsidRDefault="00A057D2" w:rsidP="00A057D2">
            <w:pPr>
              <w:numPr>
                <w:ilvl w:val="0"/>
                <w:numId w:val="1"/>
              </w:numPr>
              <w:spacing w:before="100" w:beforeAutospacing="1" w:after="100" w:afterAutospacing="1"/>
              <w:rPr>
                <w:rFonts w:ascii="Candara" w:hAnsi="Candara" w:cs="Times New Roman"/>
                <w:b/>
                <w:bCs/>
                <w:sz w:val="20"/>
                <w:szCs w:val="20"/>
              </w:rPr>
            </w:pPr>
            <w:bookmarkStart w:id="0" w:name="varset_10"/>
            <w:r w:rsidRPr="00A057D2">
              <w:rPr>
                <w:rFonts w:ascii="Candara" w:hAnsi="Candara" w:cs="Times New Roman"/>
                <w:b/>
                <w:bCs/>
                <w:sz w:val="20"/>
                <w:szCs w:val="20"/>
              </w:rPr>
              <w:t>Variant Set 10 — 3 Members</w:t>
            </w:r>
            <w:bookmarkEnd w:id="0"/>
          </w:p>
          <w:tbl>
            <w:tblPr>
              <w:tblW w:w="0" w:type="auto"/>
              <w:tblCellSpacing w:w="15" w:type="dxa"/>
              <w:tblCellMar>
                <w:top w:w="15" w:type="dxa"/>
                <w:left w:w="15" w:type="dxa"/>
                <w:bottom w:w="15" w:type="dxa"/>
                <w:right w:w="15" w:type="dxa"/>
              </w:tblCellMar>
              <w:tblLook w:val="04A0"/>
            </w:tblPr>
            <w:tblGrid>
              <w:gridCol w:w="1482"/>
              <w:gridCol w:w="556"/>
              <w:gridCol w:w="1476"/>
              <w:gridCol w:w="603"/>
              <w:gridCol w:w="260"/>
              <w:gridCol w:w="745"/>
            </w:tblGrid>
            <w:tr w:rsidR="00A057D2" w:rsidRPr="00A057D2" w:rsidTr="00A057D2">
              <w:trPr>
                <w:tblCellSpacing w:w="15" w:type="dxa"/>
              </w:trPr>
              <w:tc>
                <w:tcPr>
                  <w:tcW w:w="0" w:type="auto"/>
                  <w:vAlign w:val="center"/>
                  <w:hideMark/>
                </w:tcPr>
                <w:p w:rsidR="00A057D2" w:rsidRPr="00A057D2" w:rsidRDefault="00A057D2" w:rsidP="00A057D2">
                  <w:pPr>
                    <w:spacing w:before="100" w:beforeAutospacing="1" w:after="100" w:afterAutospacing="1" w:line="240" w:lineRule="auto"/>
                    <w:rPr>
                      <w:rFonts w:ascii="Candara" w:hAnsi="Candara" w:cs="Times New Roman"/>
                      <w:b/>
                      <w:bCs/>
                      <w:sz w:val="20"/>
                      <w:szCs w:val="20"/>
                    </w:rPr>
                  </w:pPr>
                  <w:r w:rsidRPr="00A057D2">
                    <w:rPr>
                      <w:rFonts w:ascii="Candara" w:hAnsi="Candara" w:cs="Times New Roman"/>
                      <w:b/>
                      <w:bCs/>
                      <w:sz w:val="20"/>
                      <w:szCs w:val="20"/>
                    </w:rPr>
                    <w:t>Source</w:t>
                  </w:r>
                </w:p>
              </w:tc>
              <w:tc>
                <w:tcPr>
                  <w:tcW w:w="0" w:type="auto"/>
                  <w:vAlign w:val="center"/>
                  <w:hideMark/>
                </w:tcPr>
                <w:p w:rsidR="00A057D2" w:rsidRPr="00A057D2" w:rsidRDefault="00A057D2" w:rsidP="00A057D2">
                  <w:pPr>
                    <w:spacing w:before="100" w:beforeAutospacing="1" w:after="100" w:afterAutospacing="1" w:line="240" w:lineRule="auto"/>
                    <w:rPr>
                      <w:rFonts w:ascii="Candara" w:hAnsi="Candara" w:cs="Times New Roman"/>
                      <w:b/>
                      <w:bCs/>
                      <w:sz w:val="20"/>
                      <w:szCs w:val="20"/>
                    </w:rPr>
                  </w:pPr>
                  <w:r w:rsidRPr="00A057D2">
                    <w:rPr>
                      <w:rFonts w:ascii="Candara" w:hAnsi="Candara" w:cs="Times New Roman"/>
                      <w:b/>
                      <w:bCs/>
                      <w:sz w:val="20"/>
                      <w:szCs w:val="20"/>
                    </w:rPr>
                    <w:t>Glyph</w:t>
                  </w:r>
                </w:p>
              </w:tc>
              <w:tc>
                <w:tcPr>
                  <w:tcW w:w="0" w:type="auto"/>
                  <w:vAlign w:val="center"/>
                  <w:hideMark/>
                </w:tcPr>
                <w:p w:rsidR="00A057D2" w:rsidRPr="00A057D2" w:rsidRDefault="00A057D2" w:rsidP="00A057D2">
                  <w:pPr>
                    <w:spacing w:before="100" w:beforeAutospacing="1" w:after="100" w:afterAutospacing="1" w:line="240" w:lineRule="auto"/>
                    <w:rPr>
                      <w:rFonts w:ascii="Candara" w:hAnsi="Candara" w:cs="Times New Roman"/>
                      <w:b/>
                      <w:bCs/>
                      <w:sz w:val="20"/>
                      <w:szCs w:val="20"/>
                    </w:rPr>
                  </w:pPr>
                  <w:r w:rsidRPr="00A057D2">
                    <w:rPr>
                      <w:rFonts w:ascii="Candara" w:hAnsi="Candara" w:cs="Times New Roman"/>
                      <w:b/>
                      <w:bCs/>
                      <w:sz w:val="20"/>
                      <w:szCs w:val="20"/>
                    </w:rPr>
                    <w:t>Target</w:t>
                  </w:r>
                </w:p>
              </w:tc>
              <w:tc>
                <w:tcPr>
                  <w:tcW w:w="0" w:type="auto"/>
                  <w:vAlign w:val="center"/>
                  <w:hideMark/>
                </w:tcPr>
                <w:p w:rsidR="00A057D2" w:rsidRPr="00A057D2" w:rsidRDefault="00A057D2" w:rsidP="00A057D2">
                  <w:pPr>
                    <w:spacing w:before="100" w:beforeAutospacing="1" w:after="100" w:afterAutospacing="1" w:line="240" w:lineRule="auto"/>
                    <w:rPr>
                      <w:rFonts w:ascii="Candara" w:hAnsi="Candara" w:cs="Times New Roman"/>
                      <w:b/>
                      <w:bCs/>
                      <w:sz w:val="20"/>
                      <w:szCs w:val="20"/>
                    </w:rPr>
                  </w:pPr>
                  <w:r w:rsidRPr="00A057D2">
                    <w:rPr>
                      <w:rFonts w:ascii="Candara" w:hAnsi="Candara" w:cs="Times New Roman"/>
                      <w:b/>
                      <w:bCs/>
                      <w:sz w:val="20"/>
                      <w:szCs w:val="20"/>
                    </w:rPr>
                    <w:t>Glyph</w:t>
                  </w:r>
                </w:p>
              </w:tc>
              <w:tc>
                <w:tcPr>
                  <w:tcW w:w="0" w:type="auto"/>
                  <w:vAlign w:val="center"/>
                  <w:hideMark/>
                </w:tcPr>
                <w:p w:rsidR="00A057D2" w:rsidRPr="00A057D2" w:rsidRDefault="00A057D2" w:rsidP="00A057D2">
                  <w:pPr>
                    <w:spacing w:before="100" w:beforeAutospacing="1" w:after="100" w:afterAutospacing="1" w:line="240" w:lineRule="auto"/>
                    <w:rPr>
                      <w:rFonts w:ascii="Candara" w:hAnsi="Candara" w:cs="Times New Roman"/>
                      <w:b/>
                      <w:bCs/>
                      <w:sz w:val="20"/>
                      <w:szCs w:val="20"/>
                    </w:rPr>
                  </w:pPr>
                  <w:r w:rsidRPr="00A057D2">
                    <w:rPr>
                      <w:rFonts w:ascii="Candara" w:hAnsi="Candara" w:cs="Times New Roman"/>
                      <w:b/>
                      <w:bCs/>
                      <w:sz w:val="20"/>
                      <w:szCs w:val="20"/>
                    </w:rPr>
                    <w:t> </w:t>
                  </w:r>
                </w:p>
              </w:tc>
              <w:tc>
                <w:tcPr>
                  <w:tcW w:w="0" w:type="auto"/>
                  <w:vAlign w:val="center"/>
                  <w:hideMark/>
                </w:tcPr>
                <w:p w:rsidR="00A057D2" w:rsidRPr="00A057D2" w:rsidRDefault="00A057D2" w:rsidP="00A057D2">
                  <w:pPr>
                    <w:spacing w:before="100" w:beforeAutospacing="1" w:after="100" w:afterAutospacing="1" w:line="240" w:lineRule="auto"/>
                    <w:rPr>
                      <w:rFonts w:ascii="Candara" w:hAnsi="Candara" w:cs="Times New Roman"/>
                      <w:b/>
                      <w:bCs/>
                      <w:sz w:val="20"/>
                      <w:szCs w:val="20"/>
                    </w:rPr>
                  </w:pPr>
                  <w:r w:rsidRPr="00A057D2">
                    <w:rPr>
                      <w:rFonts w:ascii="Candara" w:hAnsi="Candara" w:cs="Times New Roman"/>
                      <w:b/>
                      <w:bCs/>
                      <w:sz w:val="20"/>
                      <w:szCs w:val="20"/>
                    </w:rPr>
                    <w:t>Type</w:t>
                  </w:r>
                </w:p>
              </w:tc>
            </w:tr>
            <w:tr w:rsidR="00A057D2" w:rsidRPr="00A057D2" w:rsidTr="00A057D2">
              <w:trPr>
                <w:tblCellSpacing w:w="15" w:type="dxa"/>
              </w:trPr>
              <w:tc>
                <w:tcPr>
                  <w:tcW w:w="0" w:type="auto"/>
                  <w:shd w:val="clear" w:color="auto" w:fill="F8F4EC"/>
                  <w:vAlign w:val="center"/>
                  <w:hideMark/>
                </w:tcPr>
                <w:p w:rsidR="00A057D2" w:rsidRPr="00A057D2" w:rsidRDefault="00326392" w:rsidP="00A057D2">
                  <w:pPr>
                    <w:spacing w:before="100" w:beforeAutospacing="1" w:after="100" w:afterAutospacing="1" w:line="240" w:lineRule="auto"/>
                    <w:rPr>
                      <w:rFonts w:ascii="Candara" w:hAnsi="Candara" w:cs="Times New Roman"/>
                      <w:sz w:val="20"/>
                      <w:szCs w:val="20"/>
                    </w:rPr>
                  </w:pPr>
                  <w:hyperlink r:id="rId7" w:anchor="0D28_0D4D_0D31" w:tooltip="" w:history="1">
                    <w:r w:rsidR="00A057D2" w:rsidRPr="00A057D2">
                      <w:rPr>
                        <w:rStyle w:val="Hyperlink"/>
                        <w:rFonts w:ascii="Candara" w:hAnsi="Candara" w:cs="Times New Roman"/>
                        <w:sz w:val="20"/>
                        <w:szCs w:val="20"/>
                      </w:rPr>
                      <w:t>0D28 0D4D 0D31</w:t>
                    </w:r>
                  </w:hyperlink>
                </w:p>
              </w:tc>
              <w:tc>
                <w:tcPr>
                  <w:tcW w:w="0" w:type="auto"/>
                  <w:shd w:val="clear" w:color="auto" w:fill="F8F4EC"/>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Kartika" w:hAnsi="Kartika" w:cs="Kartika" w:hint="cs"/>
                      <w:sz w:val="20"/>
                      <w:szCs w:val="20"/>
                      <w:cs/>
                      <w:lang w:bidi="ml-IN"/>
                    </w:rPr>
                    <w:t>ന്റ</w:t>
                  </w:r>
                </w:p>
              </w:tc>
              <w:tc>
                <w:tcPr>
                  <w:tcW w:w="0" w:type="auto"/>
                  <w:shd w:val="clear" w:color="auto" w:fill="F8F4EC"/>
                  <w:vAlign w:val="center"/>
                  <w:hideMark/>
                </w:tcPr>
                <w:p w:rsidR="00A057D2" w:rsidRPr="00A057D2" w:rsidRDefault="00326392" w:rsidP="00A057D2">
                  <w:pPr>
                    <w:spacing w:before="100" w:beforeAutospacing="1" w:after="100" w:afterAutospacing="1" w:line="240" w:lineRule="auto"/>
                    <w:rPr>
                      <w:rFonts w:ascii="Candara" w:hAnsi="Candara" w:cs="Times New Roman"/>
                      <w:sz w:val="20"/>
                      <w:szCs w:val="20"/>
                    </w:rPr>
                  </w:pPr>
                  <w:hyperlink r:id="rId8" w:anchor="0D7B_0D31" w:tooltip="" w:history="1">
                    <w:r w:rsidR="00A057D2" w:rsidRPr="00A057D2">
                      <w:rPr>
                        <w:rStyle w:val="Hyperlink"/>
                        <w:rFonts w:ascii="Candara" w:hAnsi="Candara" w:cs="Times New Roman"/>
                        <w:sz w:val="20"/>
                        <w:szCs w:val="20"/>
                      </w:rPr>
                      <w:t>0D7B 0D31</w:t>
                    </w:r>
                  </w:hyperlink>
                </w:p>
              </w:tc>
              <w:tc>
                <w:tcPr>
                  <w:tcW w:w="0" w:type="auto"/>
                  <w:shd w:val="clear" w:color="auto" w:fill="F8F4EC"/>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Kartika" w:hAnsi="Kartika" w:cs="Kartika" w:hint="cs"/>
                      <w:sz w:val="20"/>
                      <w:szCs w:val="20"/>
                      <w:cs/>
                      <w:lang w:bidi="ml-IN"/>
                    </w:rPr>
                    <w:t>ൻറ</w:t>
                  </w:r>
                </w:p>
              </w:tc>
              <w:tc>
                <w:tcPr>
                  <w:tcW w:w="0" w:type="auto"/>
                  <w:shd w:val="clear" w:color="auto" w:fill="F8F4EC"/>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Arial" w:hAnsi="Arial" w:cs="Arial"/>
                      <w:sz w:val="20"/>
                      <w:szCs w:val="20"/>
                    </w:rPr>
                    <w:t>↔</w:t>
                  </w:r>
                </w:p>
              </w:tc>
              <w:tc>
                <w:tcPr>
                  <w:tcW w:w="0" w:type="auto"/>
                  <w:shd w:val="clear" w:color="auto" w:fill="F8F4EC"/>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Candara" w:hAnsi="Candara" w:cs="Times New Roman"/>
                      <w:sz w:val="20"/>
                      <w:szCs w:val="20"/>
                    </w:rPr>
                    <w:t>blocked</w:t>
                  </w:r>
                </w:p>
              </w:tc>
            </w:tr>
            <w:tr w:rsidR="00A057D2" w:rsidRPr="00A057D2" w:rsidTr="00A057D2">
              <w:trPr>
                <w:tblCellSpacing w:w="15" w:type="dxa"/>
              </w:trPr>
              <w:tc>
                <w:tcPr>
                  <w:tcW w:w="0" w:type="auto"/>
                  <w:shd w:val="clear" w:color="auto" w:fill="F8F4EC"/>
                  <w:vAlign w:val="center"/>
                  <w:hideMark/>
                </w:tcPr>
                <w:p w:rsidR="00A057D2" w:rsidRPr="00A057D2" w:rsidRDefault="00326392" w:rsidP="00A057D2">
                  <w:pPr>
                    <w:spacing w:before="100" w:beforeAutospacing="1" w:after="100" w:afterAutospacing="1" w:line="240" w:lineRule="auto"/>
                    <w:rPr>
                      <w:rFonts w:ascii="Candara" w:hAnsi="Candara" w:cs="Times New Roman"/>
                      <w:sz w:val="20"/>
                      <w:szCs w:val="20"/>
                    </w:rPr>
                  </w:pPr>
                  <w:hyperlink r:id="rId9" w:anchor="0D28_0D4D_0D31" w:tooltip="" w:history="1">
                    <w:r w:rsidR="00A057D2" w:rsidRPr="00A057D2">
                      <w:rPr>
                        <w:rStyle w:val="Hyperlink"/>
                        <w:rFonts w:ascii="Candara" w:hAnsi="Candara" w:cs="Times New Roman"/>
                        <w:sz w:val="20"/>
                        <w:szCs w:val="20"/>
                      </w:rPr>
                      <w:t>0D28 0D4D 0D31</w:t>
                    </w:r>
                  </w:hyperlink>
                </w:p>
              </w:tc>
              <w:tc>
                <w:tcPr>
                  <w:tcW w:w="0" w:type="auto"/>
                  <w:shd w:val="clear" w:color="auto" w:fill="F8F4EC"/>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Kartika" w:hAnsi="Kartika" w:cs="Kartika" w:hint="cs"/>
                      <w:sz w:val="20"/>
                      <w:szCs w:val="20"/>
                      <w:cs/>
                      <w:lang w:bidi="ml-IN"/>
                    </w:rPr>
                    <w:t>ന്റ</w:t>
                  </w:r>
                </w:p>
              </w:tc>
              <w:tc>
                <w:tcPr>
                  <w:tcW w:w="0" w:type="auto"/>
                  <w:shd w:val="clear" w:color="auto" w:fill="F8F4EC"/>
                  <w:vAlign w:val="center"/>
                  <w:hideMark/>
                </w:tcPr>
                <w:p w:rsidR="00A057D2" w:rsidRPr="00A057D2" w:rsidRDefault="00326392" w:rsidP="00A057D2">
                  <w:pPr>
                    <w:spacing w:before="100" w:beforeAutospacing="1" w:after="100" w:afterAutospacing="1" w:line="240" w:lineRule="auto"/>
                    <w:rPr>
                      <w:rFonts w:ascii="Candara" w:hAnsi="Candara" w:cs="Times New Roman"/>
                      <w:sz w:val="20"/>
                      <w:szCs w:val="20"/>
                    </w:rPr>
                  </w:pPr>
                  <w:hyperlink r:id="rId10" w:anchor="0D7B_0D4D_0D31" w:tooltip="" w:history="1">
                    <w:r w:rsidR="00A057D2" w:rsidRPr="00A057D2">
                      <w:rPr>
                        <w:rStyle w:val="Hyperlink"/>
                        <w:rFonts w:ascii="Candara" w:hAnsi="Candara" w:cs="Times New Roman"/>
                        <w:sz w:val="20"/>
                        <w:szCs w:val="20"/>
                      </w:rPr>
                      <w:t>0D7B 0D4D 0D31</w:t>
                    </w:r>
                  </w:hyperlink>
                </w:p>
              </w:tc>
              <w:tc>
                <w:tcPr>
                  <w:tcW w:w="0" w:type="auto"/>
                  <w:shd w:val="clear" w:color="auto" w:fill="F8F4EC"/>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Kartika" w:hAnsi="Kartika" w:cs="Kartika" w:hint="cs"/>
                      <w:sz w:val="20"/>
                      <w:szCs w:val="20"/>
                      <w:cs/>
                      <w:lang w:bidi="ml-IN"/>
                    </w:rPr>
                    <w:t>ൻ്റ</w:t>
                  </w:r>
                </w:p>
              </w:tc>
              <w:tc>
                <w:tcPr>
                  <w:tcW w:w="0" w:type="auto"/>
                  <w:shd w:val="clear" w:color="auto" w:fill="F8F4EC"/>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Arial" w:hAnsi="Arial" w:cs="Arial"/>
                      <w:sz w:val="20"/>
                      <w:szCs w:val="20"/>
                    </w:rPr>
                    <w:t>↔</w:t>
                  </w:r>
                </w:p>
              </w:tc>
              <w:tc>
                <w:tcPr>
                  <w:tcW w:w="0" w:type="auto"/>
                  <w:shd w:val="clear" w:color="auto" w:fill="F8F4EC"/>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Candara" w:hAnsi="Candara" w:cs="Times New Roman"/>
                      <w:sz w:val="20"/>
                      <w:szCs w:val="20"/>
                    </w:rPr>
                    <w:t>blocked</w:t>
                  </w:r>
                </w:p>
              </w:tc>
            </w:tr>
            <w:tr w:rsidR="00A057D2" w:rsidRPr="00A057D2" w:rsidTr="00A057D2">
              <w:trPr>
                <w:tblCellSpacing w:w="15" w:type="dxa"/>
              </w:trPr>
              <w:tc>
                <w:tcPr>
                  <w:tcW w:w="0" w:type="auto"/>
                  <w:shd w:val="clear" w:color="auto" w:fill="FFFFFF"/>
                  <w:vAlign w:val="center"/>
                  <w:hideMark/>
                </w:tcPr>
                <w:p w:rsidR="00A057D2" w:rsidRPr="00A057D2" w:rsidRDefault="00326392" w:rsidP="00A057D2">
                  <w:pPr>
                    <w:spacing w:before="100" w:beforeAutospacing="1" w:after="100" w:afterAutospacing="1" w:line="240" w:lineRule="auto"/>
                    <w:rPr>
                      <w:rFonts w:ascii="Candara" w:hAnsi="Candara" w:cs="Times New Roman"/>
                      <w:sz w:val="20"/>
                      <w:szCs w:val="20"/>
                    </w:rPr>
                  </w:pPr>
                  <w:hyperlink r:id="rId11" w:anchor="0D7B_0D31" w:tooltip="" w:history="1">
                    <w:r w:rsidR="00A057D2" w:rsidRPr="00A057D2">
                      <w:rPr>
                        <w:rStyle w:val="Hyperlink"/>
                        <w:rFonts w:ascii="Candara" w:hAnsi="Candara" w:cs="Times New Roman"/>
                        <w:sz w:val="20"/>
                        <w:szCs w:val="20"/>
                      </w:rPr>
                      <w:t>0D7B 0D31</w:t>
                    </w:r>
                  </w:hyperlink>
                </w:p>
              </w:tc>
              <w:tc>
                <w:tcPr>
                  <w:tcW w:w="0" w:type="auto"/>
                  <w:shd w:val="clear" w:color="auto" w:fill="FFFFFF"/>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Kartika" w:hAnsi="Kartika" w:cs="Kartika" w:hint="cs"/>
                      <w:sz w:val="20"/>
                      <w:szCs w:val="20"/>
                      <w:cs/>
                      <w:lang w:bidi="ml-IN"/>
                    </w:rPr>
                    <w:t>ൻറ</w:t>
                  </w:r>
                </w:p>
              </w:tc>
              <w:tc>
                <w:tcPr>
                  <w:tcW w:w="0" w:type="auto"/>
                  <w:shd w:val="clear" w:color="auto" w:fill="FFFFFF"/>
                  <w:vAlign w:val="center"/>
                  <w:hideMark/>
                </w:tcPr>
                <w:p w:rsidR="00A057D2" w:rsidRPr="00A057D2" w:rsidRDefault="00326392" w:rsidP="00A057D2">
                  <w:pPr>
                    <w:spacing w:before="100" w:beforeAutospacing="1" w:after="100" w:afterAutospacing="1" w:line="240" w:lineRule="auto"/>
                    <w:rPr>
                      <w:rFonts w:ascii="Candara" w:hAnsi="Candara" w:cs="Times New Roman"/>
                      <w:sz w:val="20"/>
                      <w:szCs w:val="20"/>
                    </w:rPr>
                  </w:pPr>
                  <w:hyperlink r:id="rId12" w:anchor="0D7B_0D4D_0D31" w:tooltip="" w:history="1">
                    <w:r w:rsidR="00A057D2" w:rsidRPr="00A057D2">
                      <w:rPr>
                        <w:rStyle w:val="Hyperlink"/>
                        <w:rFonts w:ascii="Candara" w:hAnsi="Candara" w:cs="Times New Roman"/>
                        <w:sz w:val="20"/>
                        <w:szCs w:val="20"/>
                      </w:rPr>
                      <w:t>0D7B 0D4D 0D31</w:t>
                    </w:r>
                  </w:hyperlink>
                </w:p>
              </w:tc>
              <w:tc>
                <w:tcPr>
                  <w:tcW w:w="0" w:type="auto"/>
                  <w:shd w:val="clear" w:color="auto" w:fill="FFFFFF"/>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Kartika" w:hAnsi="Kartika" w:cs="Kartika" w:hint="cs"/>
                      <w:sz w:val="20"/>
                      <w:szCs w:val="20"/>
                      <w:cs/>
                      <w:lang w:bidi="ml-IN"/>
                    </w:rPr>
                    <w:t>ൻ്റ</w:t>
                  </w:r>
                </w:p>
              </w:tc>
              <w:tc>
                <w:tcPr>
                  <w:tcW w:w="0" w:type="auto"/>
                  <w:shd w:val="clear" w:color="auto" w:fill="FFFFFF"/>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Arial" w:hAnsi="Arial" w:cs="Arial"/>
                      <w:sz w:val="20"/>
                      <w:szCs w:val="20"/>
                    </w:rPr>
                    <w:t>↔</w:t>
                  </w:r>
                </w:p>
              </w:tc>
              <w:tc>
                <w:tcPr>
                  <w:tcW w:w="0" w:type="auto"/>
                  <w:shd w:val="clear" w:color="auto" w:fill="FFFFFF"/>
                  <w:vAlign w:val="center"/>
                  <w:hideMark/>
                </w:tcPr>
                <w:p w:rsidR="00A057D2" w:rsidRPr="00A057D2" w:rsidRDefault="00A057D2" w:rsidP="00A057D2">
                  <w:pPr>
                    <w:spacing w:before="100" w:beforeAutospacing="1" w:after="100" w:afterAutospacing="1" w:line="240" w:lineRule="auto"/>
                    <w:rPr>
                      <w:rFonts w:ascii="Candara" w:hAnsi="Candara" w:cs="Times New Roman"/>
                      <w:sz w:val="20"/>
                      <w:szCs w:val="20"/>
                    </w:rPr>
                  </w:pPr>
                  <w:r w:rsidRPr="00A057D2">
                    <w:rPr>
                      <w:rFonts w:ascii="Candara" w:hAnsi="Candara" w:cs="Times New Roman"/>
                      <w:sz w:val="20"/>
                      <w:szCs w:val="20"/>
                    </w:rPr>
                    <w:t>blocked</w:t>
                  </w:r>
                </w:p>
              </w:tc>
            </w:tr>
          </w:tbl>
          <w:p w:rsidR="00FD7463" w:rsidRDefault="000A2F01" w:rsidP="00FD7463">
            <w:pPr>
              <w:spacing w:before="100" w:beforeAutospacing="1" w:after="100" w:afterAutospacing="1"/>
              <w:rPr>
                <w:rFonts w:ascii="Candara" w:hAnsi="Candara" w:cs="Times New Roman"/>
                <w:noProof/>
                <w:sz w:val="20"/>
                <w:szCs w:val="20"/>
                <w:lang w:bidi="km-KH"/>
              </w:rPr>
            </w:pPr>
            <w:r>
              <w:rPr>
                <w:rFonts w:ascii="Candara" w:hAnsi="Candara" w:cs="Times New Roman"/>
                <w:sz w:val="20"/>
                <w:szCs w:val="20"/>
              </w:rPr>
              <w:t>The IP notes that for many systems the sequence 0D7B + Halant does not render properly (shown with a dotted circle). Would it not be better to disallow?</w:t>
            </w:r>
            <w:r w:rsidR="00FD7463">
              <w:rPr>
                <w:rFonts w:ascii="Candara" w:hAnsi="Candara" w:cs="Times New Roman"/>
                <w:noProof/>
                <w:sz w:val="20"/>
                <w:szCs w:val="20"/>
                <w:lang w:bidi="km-KH"/>
              </w:rPr>
              <w:t xml:space="preserve"> </w:t>
            </w:r>
          </w:p>
          <w:p w:rsidR="00FD7463" w:rsidRDefault="00FD7463" w:rsidP="00FD7463">
            <w:pPr>
              <w:spacing w:before="100" w:beforeAutospacing="1" w:after="100" w:afterAutospacing="1"/>
              <w:rPr>
                <w:rFonts w:ascii="Candara" w:hAnsi="Candara" w:cs="Times New Roman"/>
                <w:sz w:val="20"/>
                <w:szCs w:val="20"/>
              </w:rPr>
            </w:pPr>
            <w:r>
              <w:rPr>
                <w:rFonts w:ascii="Candara" w:hAnsi="Candara" w:cs="Times New Roman"/>
                <w:sz w:val="20"/>
                <w:szCs w:val="20"/>
              </w:rPr>
              <w:t>Here’s the rendering on the latest Safari, which differs from that used in some versions of MS Word or other browsers (also note the dotted circles):</w:t>
            </w:r>
          </w:p>
          <w:p w:rsidR="00A057D2" w:rsidRDefault="00EB36D1" w:rsidP="00A057D2">
            <w:pPr>
              <w:spacing w:before="100" w:beforeAutospacing="1" w:after="100" w:afterAutospacing="1"/>
              <w:rPr>
                <w:rFonts w:ascii="Candara" w:hAnsi="Candara" w:cs="Times New Roman"/>
                <w:sz w:val="20"/>
                <w:szCs w:val="20"/>
              </w:rPr>
            </w:pPr>
            <w:r>
              <w:rPr>
                <w:rFonts w:ascii="Candara" w:hAnsi="Candara" w:cs="Times New Roman"/>
                <w:noProof/>
                <w:sz w:val="20"/>
                <w:szCs w:val="20"/>
                <w:lang w:bidi="km-KH"/>
              </w:rPr>
              <w:drawing>
                <wp:inline distT="0" distB="0" distL="0" distR="0">
                  <wp:extent cx="3729573" cy="1272677"/>
                  <wp:effectExtent l="19050" t="0" r="422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734308" cy="1274293"/>
                          </a:xfrm>
                          <a:prstGeom prst="rect">
                            <a:avLst/>
                          </a:prstGeom>
                          <a:noFill/>
                          <a:ln w="9525">
                            <a:noFill/>
                            <a:miter lim="800000"/>
                            <a:headEnd/>
                            <a:tailEnd/>
                          </a:ln>
                        </pic:spPr>
                      </pic:pic>
                    </a:graphicData>
                  </a:graphic>
                </wp:inline>
              </w:drawing>
            </w:r>
          </w:p>
          <w:p w:rsidR="000A2F01" w:rsidRDefault="000A2F01" w:rsidP="00A057D2">
            <w:pPr>
              <w:spacing w:before="100" w:beforeAutospacing="1" w:after="100" w:afterAutospacing="1"/>
              <w:rPr>
                <w:rFonts w:ascii="Candara" w:hAnsi="Candara" w:cs="Times New Roman"/>
                <w:sz w:val="20"/>
                <w:szCs w:val="20"/>
              </w:rPr>
            </w:pPr>
            <w:r>
              <w:rPr>
                <w:rFonts w:ascii="Candara" w:hAnsi="Candara" w:cs="Times New Roman"/>
                <w:sz w:val="20"/>
                <w:szCs w:val="20"/>
              </w:rPr>
              <w:t xml:space="preserve">Note that LGR-2 disallows some grammatical sequences in Thai, because of lack of universal support in rendering. </w:t>
            </w:r>
            <w:proofErr w:type="gramStart"/>
            <w:r>
              <w:rPr>
                <w:rFonts w:ascii="Candara" w:hAnsi="Candara" w:cs="Times New Roman"/>
                <w:sz w:val="20"/>
                <w:szCs w:val="20"/>
              </w:rPr>
              <w:t>So</w:t>
            </w:r>
            <w:proofErr w:type="gramEnd"/>
            <w:r>
              <w:rPr>
                <w:rFonts w:ascii="Candara" w:hAnsi="Candara" w:cs="Times New Roman"/>
                <w:sz w:val="20"/>
                <w:szCs w:val="20"/>
              </w:rPr>
              <w:t xml:space="preserve"> there is a precedent.</w:t>
            </w:r>
          </w:p>
          <w:p w:rsidR="00FD7463" w:rsidRDefault="00EB36D1" w:rsidP="00A057D2">
            <w:pPr>
              <w:spacing w:before="100" w:beforeAutospacing="1" w:after="100" w:afterAutospacing="1"/>
              <w:rPr>
                <w:rFonts w:ascii="Candara" w:hAnsi="Candara" w:cs="Times New Roman"/>
                <w:sz w:val="20"/>
                <w:szCs w:val="20"/>
              </w:rPr>
            </w:pPr>
            <w:r>
              <w:rPr>
                <w:rFonts w:ascii="Candara" w:hAnsi="Candara" w:cs="Times New Roman"/>
                <w:noProof/>
                <w:sz w:val="20"/>
                <w:szCs w:val="20"/>
                <w:lang w:bidi="km-KH"/>
              </w:rPr>
              <w:drawing>
                <wp:inline distT="0" distB="0" distL="0" distR="0">
                  <wp:extent cx="2169160" cy="31369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169160" cy="313690"/>
                          </a:xfrm>
                          <a:prstGeom prst="rect">
                            <a:avLst/>
                          </a:prstGeom>
                          <a:noFill/>
                          <a:ln w="9525">
                            <a:noFill/>
                            <a:miter lim="800000"/>
                            <a:headEnd/>
                            <a:tailEnd/>
                          </a:ln>
                        </pic:spPr>
                      </pic:pic>
                    </a:graphicData>
                  </a:graphic>
                </wp:inline>
              </w:drawing>
            </w:r>
          </w:p>
          <w:p w:rsidR="000A2F01" w:rsidRDefault="000A2F01" w:rsidP="00A057D2">
            <w:pPr>
              <w:spacing w:before="100" w:beforeAutospacing="1" w:after="100" w:afterAutospacing="1"/>
              <w:rPr>
                <w:rFonts w:ascii="Candara" w:hAnsi="Candara" w:cs="Times New Roman"/>
                <w:sz w:val="20"/>
                <w:szCs w:val="20"/>
              </w:rPr>
            </w:pPr>
            <w:proofErr w:type="gramStart"/>
            <w:r>
              <w:rPr>
                <w:rFonts w:ascii="Candara" w:hAnsi="Candara" w:cs="Times New Roman"/>
                <w:sz w:val="20"/>
                <w:szCs w:val="20"/>
              </w:rPr>
              <w:t>Also</w:t>
            </w:r>
            <w:proofErr w:type="gramEnd"/>
            <w:r>
              <w:rPr>
                <w:rFonts w:ascii="Candara" w:hAnsi="Candara" w:cs="Times New Roman"/>
                <w:sz w:val="20"/>
                <w:szCs w:val="20"/>
              </w:rPr>
              <w:t>, the various displayed shapes are not altogether that close in appearance, so the IP would normally question the choice of making these variants.</w:t>
            </w:r>
          </w:p>
          <w:p w:rsidR="000A2F01" w:rsidRPr="000A2F01" w:rsidRDefault="000A2F01" w:rsidP="000A2F01">
            <w:pPr>
              <w:numPr>
                <w:ilvl w:val="0"/>
                <w:numId w:val="1"/>
              </w:numPr>
              <w:spacing w:before="100" w:beforeAutospacing="1" w:after="100" w:afterAutospacing="1"/>
              <w:rPr>
                <w:rFonts w:ascii="Candara" w:hAnsi="Candara" w:cs="Times New Roman"/>
                <w:b/>
                <w:bCs/>
                <w:sz w:val="20"/>
                <w:szCs w:val="20"/>
              </w:rPr>
            </w:pPr>
            <w:bookmarkStart w:id="1" w:name="varset_11"/>
            <w:r w:rsidRPr="000A2F01">
              <w:rPr>
                <w:rFonts w:ascii="Candara" w:hAnsi="Candara" w:cs="Times New Roman"/>
                <w:b/>
                <w:bCs/>
                <w:sz w:val="20"/>
                <w:szCs w:val="20"/>
              </w:rPr>
              <w:t>Variant Set 11 — 2 Members</w:t>
            </w:r>
            <w:bookmarkEnd w:id="1"/>
          </w:p>
          <w:tbl>
            <w:tblPr>
              <w:tblW w:w="0" w:type="auto"/>
              <w:tblCellSpacing w:w="15" w:type="dxa"/>
              <w:tblCellMar>
                <w:top w:w="15" w:type="dxa"/>
                <w:left w:w="15" w:type="dxa"/>
                <w:bottom w:w="15" w:type="dxa"/>
                <w:right w:w="15" w:type="dxa"/>
              </w:tblCellMar>
              <w:tblLook w:val="04A0"/>
            </w:tblPr>
            <w:tblGrid>
              <w:gridCol w:w="984"/>
              <w:gridCol w:w="556"/>
              <w:gridCol w:w="1486"/>
              <w:gridCol w:w="556"/>
              <w:gridCol w:w="260"/>
              <w:gridCol w:w="745"/>
            </w:tblGrid>
            <w:tr w:rsidR="000A2F01" w:rsidRPr="000A2F01" w:rsidTr="000A2F01">
              <w:trPr>
                <w:tblCellSpacing w:w="15" w:type="dxa"/>
              </w:trPr>
              <w:tc>
                <w:tcPr>
                  <w:tcW w:w="0" w:type="auto"/>
                  <w:vAlign w:val="center"/>
                  <w:hideMark/>
                </w:tcPr>
                <w:p w:rsidR="000A2F01" w:rsidRPr="000A2F01" w:rsidRDefault="000A2F01" w:rsidP="000A2F01">
                  <w:pPr>
                    <w:spacing w:before="100" w:beforeAutospacing="1" w:after="100" w:afterAutospacing="1" w:line="240" w:lineRule="auto"/>
                    <w:rPr>
                      <w:rFonts w:ascii="Candara" w:hAnsi="Candara" w:cs="Times New Roman"/>
                      <w:b/>
                      <w:bCs/>
                      <w:sz w:val="20"/>
                      <w:szCs w:val="20"/>
                    </w:rPr>
                  </w:pPr>
                  <w:r w:rsidRPr="000A2F01">
                    <w:rPr>
                      <w:rFonts w:ascii="Candara" w:hAnsi="Candara" w:cs="Times New Roman"/>
                      <w:b/>
                      <w:bCs/>
                      <w:sz w:val="20"/>
                      <w:szCs w:val="20"/>
                    </w:rPr>
                    <w:t>Source</w:t>
                  </w:r>
                </w:p>
              </w:tc>
              <w:tc>
                <w:tcPr>
                  <w:tcW w:w="0" w:type="auto"/>
                  <w:vAlign w:val="center"/>
                  <w:hideMark/>
                </w:tcPr>
                <w:p w:rsidR="000A2F01" w:rsidRPr="000A2F01" w:rsidRDefault="000A2F01" w:rsidP="000A2F01">
                  <w:pPr>
                    <w:spacing w:before="100" w:beforeAutospacing="1" w:after="100" w:afterAutospacing="1" w:line="240" w:lineRule="auto"/>
                    <w:rPr>
                      <w:rFonts w:ascii="Candara" w:hAnsi="Candara" w:cs="Times New Roman"/>
                      <w:b/>
                      <w:bCs/>
                      <w:sz w:val="20"/>
                      <w:szCs w:val="20"/>
                    </w:rPr>
                  </w:pPr>
                  <w:r w:rsidRPr="000A2F01">
                    <w:rPr>
                      <w:rFonts w:ascii="Candara" w:hAnsi="Candara" w:cs="Times New Roman"/>
                      <w:b/>
                      <w:bCs/>
                      <w:sz w:val="20"/>
                      <w:szCs w:val="20"/>
                    </w:rPr>
                    <w:t>Glyph</w:t>
                  </w:r>
                </w:p>
              </w:tc>
              <w:tc>
                <w:tcPr>
                  <w:tcW w:w="0" w:type="auto"/>
                  <w:vAlign w:val="center"/>
                  <w:hideMark/>
                </w:tcPr>
                <w:p w:rsidR="000A2F01" w:rsidRPr="000A2F01" w:rsidRDefault="000A2F01" w:rsidP="000A2F01">
                  <w:pPr>
                    <w:spacing w:before="100" w:beforeAutospacing="1" w:after="100" w:afterAutospacing="1" w:line="240" w:lineRule="auto"/>
                    <w:rPr>
                      <w:rFonts w:ascii="Candara" w:hAnsi="Candara" w:cs="Times New Roman"/>
                      <w:b/>
                      <w:bCs/>
                      <w:sz w:val="20"/>
                      <w:szCs w:val="20"/>
                    </w:rPr>
                  </w:pPr>
                  <w:r w:rsidRPr="000A2F01">
                    <w:rPr>
                      <w:rFonts w:ascii="Candara" w:hAnsi="Candara" w:cs="Times New Roman"/>
                      <w:b/>
                      <w:bCs/>
                      <w:sz w:val="20"/>
                      <w:szCs w:val="20"/>
                    </w:rPr>
                    <w:t>Target</w:t>
                  </w:r>
                </w:p>
              </w:tc>
              <w:tc>
                <w:tcPr>
                  <w:tcW w:w="0" w:type="auto"/>
                  <w:vAlign w:val="center"/>
                  <w:hideMark/>
                </w:tcPr>
                <w:p w:rsidR="000A2F01" w:rsidRPr="000A2F01" w:rsidRDefault="000A2F01" w:rsidP="000A2F01">
                  <w:pPr>
                    <w:spacing w:before="100" w:beforeAutospacing="1" w:after="100" w:afterAutospacing="1" w:line="240" w:lineRule="auto"/>
                    <w:rPr>
                      <w:rFonts w:ascii="Candara" w:hAnsi="Candara" w:cs="Times New Roman"/>
                      <w:b/>
                      <w:bCs/>
                      <w:sz w:val="20"/>
                      <w:szCs w:val="20"/>
                    </w:rPr>
                  </w:pPr>
                  <w:r w:rsidRPr="000A2F01">
                    <w:rPr>
                      <w:rFonts w:ascii="Candara" w:hAnsi="Candara" w:cs="Times New Roman"/>
                      <w:b/>
                      <w:bCs/>
                      <w:sz w:val="20"/>
                      <w:szCs w:val="20"/>
                    </w:rPr>
                    <w:t>Glyph</w:t>
                  </w:r>
                </w:p>
              </w:tc>
              <w:tc>
                <w:tcPr>
                  <w:tcW w:w="0" w:type="auto"/>
                  <w:vAlign w:val="center"/>
                  <w:hideMark/>
                </w:tcPr>
                <w:p w:rsidR="000A2F01" w:rsidRPr="000A2F01" w:rsidRDefault="000A2F01" w:rsidP="000A2F01">
                  <w:pPr>
                    <w:spacing w:before="100" w:beforeAutospacing="1" w:after="100" w:afterAutospacing="1" w:line="240" w:lineRule="auto"/>
                    <w:rPr>
                      <w:rFonts w:ascii="Candara" w:hAnsi="Candara" w:cs="Times New Roman"/>
                      <w:b/>
                      <w:bCs/>
                      <w:sz w:val="20"/>
                      <w:szCs w:val="20"/>
                    </w:rPr>
                  </w:pPr>
                  <w:r w:rsidRPr="000A2F01">
                    <w:rPr>
                      <w:rFonts w:ascii="Candara" w:hAnsi="Candara" w:cs="Times New Roman"/>
                      <w:b/>
                      <w:bCs/>
                      <w:sz w:val="20"/>
                      <w:szCs w:val="20"/>
                    </w:rPr>
                    <w:t> </w:t>
                  </w:r>
                </w:p>
              </w:tc>
              <w:tc>
                <w:tcPr>
                  <w:tcW w:w="0" w:type="auto"/>
                  <w:vAlign w:val="center"/>
                  <w:hideMark/>
                </w:tcPr>
                <w:p w:rsidR="000A2F01" w:rsidRPr="000A2F01" w:rsidRDefault="000A2F01" w:rsidP="000A2F01">
                  <w:pPr>
                    <w:spacing w:before="100" w:beforeAutospacing="1" w:after="100" w:afterAutospacing="1" w:line="240" w:lineRule="auto"/>
                    <w:rPr>
                      <w:rFonts w:ascii="Candara" w:hAnsi="Candara" w:cs="Times New Roman"/>
                      <w:b/>
                      <w:bCs/>
                      <w:sz w:val="20"/>
                      <w:szCs w:val="20"/>
                    </w:rPr>
                  </w:pPr>
                  <w:r w:rsidRPr="000A2F01">
                    <w:rPr>
                      <w:rFonts w:ascii="Candara" w:hAnsi="Candara" w:cs="Times New Roman"/>
                      <w:b/>
                      <w:bCs/>
                      <w:sz w:val="20"/>
                      <w:szCs w:val="20"/>
                    </w:rPr>
                    <w:t>Type</w:t>
                  </w:r>
                </w:p>
              </w:tc>
            </w:tr>
            <w:tr w:rsidR="000A2F01" w:rsidRPr="000A2F01" w:rsidTr="000A2F01">
              <w:trPr>
                <w:tblCellSpacing w:w="15" w:type="dxa"/>
              </w:trPr>
              <w:tc>
                <w:tcPr>
                  <w:tcW w:w="0" w:type="auto"/>
                  <w:shd w:val="clear" w:color="auto" w:fill="F8F4EC"/>
                  <w:vAlign w:val="center"/>
                  <w:hideMark/>
                </w:tcPr>
                <w:p w:rsidR="000A2F01" w:rsidRPr="000A2F01" w:rsidRDefault="00326392" w:rsidP="000A2F01">
                  <w:pPr>
                    <w:spacing w:before="100" w:beforeAutospacing="1" w:after="100" w:afterAutospacing="1" w:line="240" w:lineRule="auto"/>
                    <w:rPr>
                      <w:rFonts w:ascii="Candara" w:hAnsi="Candara" w:cs="Times New Roman"/>
                      <w:sz w:val="20"/>
                      <w:szCs w:val="20"/>
                    </w:rPr>
                  </w:pPr>
                  <w:hyperlink r:id="rId15" w:anchor="0D33_0D33" w:tooltip="" w:history="1">
                    <w:r w:rsidR="000A2F01" w:rsidRPr="000A2F01">
                      <w:rPr>
                        <w:rStyle w:val="Hyperlink"/>
                        <w:rFonts w:ascii="Candara" w:hAnsi="Candara" w:cs="Times New Roman"/>
                        <w:sz w:val="20"/>
                        <w:szCs w:val="20"/>
                      </w:rPr>
                      <w:t xml:space="preserve">0D33 </w:t>
                    </w:r>
                    <w:proofErr w:type="spellStart"/>
                    <w:r w:rsidR="000A2F01" w:rsidRPr="000A2F01">
                      <w:rPr>
                        <w:rStyle w:val="Hyperlink"/>
                        <w:rFonts w:ascii="Candara" w:hAnsi="Candara" w:cs="Times New Roman"/>
                        <w:sz w:val="20"/>
                        <w:szCs w:val="20"/>
                      </w:rPr>
                      <w:t>0D33</w:t>
                    </w:r>
                    <w:proofErr w:type="spellEnd"/>
                  </w:hyperlink>
                </w:p>
              </w:tc>
              <w:tc>
                <w:tcPr>
                  <w:tcW w:w="0" w:type="auto"/>
                  <w:shd w:val="clear" w:color="auto" w:fill="F8F4EC"/>
                  <w:vAlign w:val="center"/>
                  <w:hideMark/>
                </w:tcPr>
                <w:p w:rsidR="000A2F01" w:rsidRPr="000A2F01" w:rsidRDefault="000A2F01" w:rsidP="000A2F01">
                  <w:pPr>
                    <w:spacing w:before="100" w:beforeAutospacing="1" w:after="100" w:afterAutospacing="1" w:line="240" w:lineRule="auto"/>
                    <w:rPr>
                      <w:rFonts w:ascii="Candara" w:hAnsi="Candara" w:cs="Times New Roman"/>
                      <w:sz w:val="20"/>
                      <w:szCs w:val="20"/>
                    </w:rPr>
                  </w:pPr>
                  <w:r w:rsidRPr="000A2F01">
                    <w:rPr>
                      <w:rFonts w:ascii="Kartika" w:hAnsi="Kartika" w:cs="Kartika" w:hint="cs"/>
                      <w:sz w:val="20"/>
                      <w:szCs w:val="20"/>
                      <w:cs/>
                      <w:lang w:bidi="ml-IN"/>
                    </w:rPr>
                    <w:t>ളള</w:t>
                  </w:r>
                </w:p>
              </w:tc>
              <w:tc>
                <w:tcPr>
                  <w:tcW w:w="0" w:type="auto"/>
                  <w:shd w:val="clear" w:color="auto" w:fill="F8F4EC"/>
                  <w:vAlign w:val="center"/>
                  <w:hideMark/>
                </w:tcPr>
                <w:p w:rsidR="000A2F01" w:rsidRPr="000A2F01" w:rsidRDefault="00326392" w:rsidP="000A2F01">
                  <w:pPr>
                    <w:spacing w:before="100" w:beforeAutospacing="1" w:after="100" w:afterAutospacing="1" w:line="240" w:lineRule="auto"/>
                    <w:rPr>
                      <w:rFonts w:ascii="Candara" w:hAnsi="Candara" w:cs="Times New Roman"/>
                      <w:sz w:val="20"/>
                      <w:szCs w:val="20"/>
                    </w:rPr>
                  </w:pPr>
                  <w:hyperlink r:id="rId16" w:anchor="0D33_0D4D_0D33" w:tooltip="" w:history="1">
                    <w:r w:rsidR="000A2F01" w:rsidRPr="000A2F01">
                      <w:rPr>
                        <w:rStyle w:val="Hyperlink"/>
                        <w:rFonts w:ascii="Candara" w:hAnsi="Candara" w:cs="Times New Roman"/>
                        <w:sz w:val="20"/>
                        <w:szCs w:val="20"/>
                      </w:rPr>
                      <w:t>0D33 0D4D 0D33</w:t>
                    </w:r>
                  </w:hyperlink>
                </w:p>
              </w:tc>
              <w:tc>
                <w:tcPr>
                  <w:tcW w:w="0" w:type="auto"/>
                  <w:shd w:val="clear" w:color="auto" w:fill="F8F4EC"/>
                  <w:vAlign w:val="center"/>
                  <w:hideMark/>
                </w:tcPr>
                <w:p w:rsidR="000A2F01" w:rsidRPr="000A2F01" w:rsidRDefault="000A2F01" w:rsidP="000A2F01">
                  <w:pPr>
                    <w:spacing w:before="100" w:beforeAutospacing="1" w:after="100" w:afterAutospacing="1" w:line="240" w:lineRule="auto"/>
                    <w:rPr>
                      <w:rFonts w:ascii="Candara" w:hAnsi="Candara" w:cs="Times New Roman"/>
                      <w:sz w:val="20"/>
                      <w:szCs w:val="20"/>
                    </w:rPr>
                  </w:pPr>
                  <w:r w:rsidRPr="000A2F01">
                    <w:rPr>
                      <w:rFonts w:ascii="Kartika" w:hAnsi="Kartika" w:cs="Kartika" w:hint="cs"/>
                      <w:sz w:val="20"/>
                      <w:szCs w:val="20"/>
                      <w:cs/>
                      <w:lang w:bidi="ml-IN"/>
                    </w:rPr>
                    <w:t>ള്ള</w:t>
                  </w:r>
                </w:p>
              </w:tc>
              <w:tc>
                <w:tcPr>
                  <w:tcW w:w="0" w:type="auto"/>
                  <w:shd w:val="clear" w:color="auto" w:fill="F8F4EC"/>
                  <w:vAlign w:val="center"/>
                  <w:hideMark/>
                </w:tcPr>
                <w:p w:rsidR="000A2F01" w:rsidRPr="000A2F01" w:rsidRDefault="000A2F01" w:rsidP="000A2F01">
                  <w:pPr>
                    <w:spacing w:before="100" w:beforeAutospacing="1" w:after="100" w:afterAutospacing="1" w:line="240" w:lineRule="auto"/>
                    <w:rPr>
                      <w:rFonts w:ascii="Candara" w:hAnsi="Candara" w:cs="Times New Roman"/>
                      <w:sz w:val="20"/>
                      <w:szCs w:val="20"/>
                    </w:rPr>
                  </w:pPr>
                  <w:r w:rsidRPr="000A2F01">
                    <w:rPr>
                      <w:rFonts w:ascii="Arial" w:hAnsi="Arial" w:cs="Arial"/>
                      <w:sz w:val="20"/>
                      <w:szCs w:val="20"/>
                    </w:rPr>
                    <w:t>↔</w:t>
                  </w:r>
                </w:p>
              </w:tc>
              <w:tc>
                <w:tcPr>
                  <w:tcW w:w="0" w:type="auto"/>
                  <w:shd w:val="clear" w:color="auto" w:fill="F8F4EC"/>
                  <w:vAlign w:val="center"/>
                  <w:hideMark/>
                </w:tcPr>
                <w:p w:rsidR="000A2F01" w:rsidRPr="000A2F01" w:rsidRDefault="000A2F01" w:rsidP="000A2F01">
                  <w:pPr>
                    <w:spacing w:before="100" w:beforeAutospacing="1" w:after="100" w:afterAutospacing="1" w:line="240" w:lineRule="auto"/>
                    <w:rPr>
                      <w:rFonts w:ascii="Candara" w:hAnsi="Candara" w:cs="Times New Roman"/>
                      <w:sz w:val="20"/>
                      <w:szCs w:val="20"/>
                    </w:rPr>
                  </w:pPr>
                  <w:r w:rsidRPr="000A2F01">
                    <w:rPr>
                      <w:rFonts w:ascii="Candara" w:hAnsi="Candara" w:cs="Times New Roman"/>
                      <w:sz w:val="20"/>
                      <w:szCs w:val="20"/>
                    </w:rPr>
                    <w:t>blocked</w:t>
                  </w:r>
                </w:p>
              </w:tc>
            </w:tr>
          </w:tbl>
          <w:p w:rsidR="000A2F01" w:rsidRDefault="000A2F01" w:rsidP="00A057D2">
            <w:pPr>
              <w:spacing w:before="100" w:beforeAutospacing="1" w:after="100" w:afterAutospacing="1"/>
              <w:rPr>
                <w:rFonts w:ascii="Candara" w:hAnsi="Candara" w:cs="Times New Roman"/>
                <w:sz w:val="20"/>
                <w:szCs w:val="20"/>
              </w:rPr>
            </w:pPr>
            <w:r>
              <w:rPr>
                <w:rFonts w:ascii="Candara" w:hAnsi="Candara" w:cs="Times New Roman"/>
                <w:sz w:val="20"/>
                <w:szCs w:val="20"/>
              </w:rPr>
              <w:t>While the IP agrees that the two “Glyphs” while not 100% identical are close enough to warrant variant treatment, there is the issue that the pattern  “CC is variant of CHC” creates more complexity than might otherwise appear:</w:t>
            </w:r>
          </w:p>
          <w:p w:rsidR="000A2F01" w:rsidRPr="00A057D2" w:rsidRDefault="000A2F01" w:rsidP="00A057D2">
            <w:pPr>
              <w:spacing w:before="100" w:beforeAutospacing="1" w:after="100" w:afterAutospacing="1"/>
              <w:rPr>
                <w:rFonts w:ascii="Candara" w:hAnsi="Candara" w:cs="Times New Roman"/>
                <w:sz w:val="20"/>
                <w:szCs w:val="20"/>
              </w:rPr>
            </w:pPr>
            <w:r>
              <w:rPr>
                <w:rFonts w:ascii="Candara" w:hAnsi="Candara" w:cs="Times New Roman"/>
                <w:sz w:val="20"/>
                <w:szCs w:val="20"/>
              </w:rPr>
              <w:t>A sequence CCC can have as variants CHCC CHCHC and CCHC. This sort of combinatorial explosion can perhaps be tolerated for “blocked” variants, but only if there is no alternative. The IP would like to understand (from language to be added to the proposal) why oD33 0D4D 0D33 needs to be permitted. (This may be obvious to a native reader, but needs to be made explicit).</w:t>
            </w:r>
          </w:p>
          <w:p w:rsidR="00A057D2" w:rsidRPr="00A057D2" w:rsidRDefault="00A057D2" w:rsidP="006F0907">
            <w:pPr>
              <w:spacing w:before="100" w:beforeAutospacing="1" w:after="100" w:afterAutospacing="1"/>
              <w:rPr>
                <w:rFonts w:ascii="Candara" w:hAnsi="Candara" w:cs="Times New Roman"/>
                <w:sz w:val="20"/>
                <w:szCs w:val="20"/>
              </w:rPr>
            </w:pPr>
          </w:p>
        </w:tc>
        <w:tc>
          <w:tcPr>
            <w:tcW w:w="2840" w:type="dxa"/>
          </w:tcPr>
          <w:p w:rsidR="00A057D2" w:rsidRDefault="00A057D2" w:rsidP="006F0907"/>
        </w:tc>
      </w:tr>
      <w:tr w:rsidR="00830B79" w:rsidTr="006F0907">
        <w:tc>
          <w:tcPr>
            <w:tcW w:w="1212" w:type="dxa"/>
          </w:tcPr>
          <w:p w:rsidR="00830B79" w:rsidRPr="00241F9F" w:rsidRDefault="00830B79" w:rsidP="006F0907">
            <w:r>
              <w:rPr>
                <w:lang w:val="de-DE"/>
              </w:rPr>
              <w:t>§6.2</w:t>
            </w:r>
          </w:p>
        </w:tc>
        <w:tc>
          <w:tcPr>
            <w:tcW w:w="5524" w:type="dxa"/>
          </w:tcPr>
          <w:p w:rsidR="00830B79" w:rsidRDefault="00830B79" w:rsidP="006F0907">
            <w:pPr>
              <w:spacing w:before="100" w:beforeAutospacing="1" w:after="100" w:afterAutospacing="1"/>
              <w:rPr>
                <w:rFonts w:ascii="Candara" w:hAnsi="Candara" w:cs="Times New Roman"/>
                <w:sz w:val="20"/>
                <w:szCs w:val="20"/>
                <w:lang w:val="en-GB"/>
              </w:rPr>
            </w:pPr>
            <w:r>
              <w:rPr>
                <w:rFonts w:ascii="Candara" w:hAnsi="Candara" w:cs="Times New Roman"/>
                <w:sz w:val="20"/>
                <w:szCs w:val="20"/>
                <w:lang w:val="en-GB"/>
              </w:rPr>
              <w:t>The document states that variants are defined for code points that “</w:t>
            </w:r>
            <w:r w:rsidRPr="0083074B">
              <w:rPr>
                <w:rFonts w:ascii="Cambria" w:hAnsi="Cambria"/>
              </w:rPr>
              <w:t xml:space="preserve">look somewhat similar </w:t>
            </w:r>
            <w:r>
              <w:rPr>
                <w:rFonts w:ascii="Candara" w:hAnsi="Candara" w:cs="Times New Roman"/>
                <w:sz w:val="20"/>
                <w:szCs w:val="20"/>
                <w:lang w:val="en-GB"/>
              </w:rPr>
              <w:t>” to characters in other scripts.</w:t>
            </w:r>
          </w:p>
          <w:p w:rsidR="00830B79" w:rsidRDefault="00830B79" w:rsidP="006F0907">
            <w:pPr>
              <w:spacing w:before="100" w:beforeAutospacing="1" w:after="100" w:afterAutospacing="1"/>
              <w:rPr>
                <w:rFonts w:ascii="Candara" w:hAnsi="Candara" w:cs="Times New Roman"/>
                <w:sz w:val="20"/>
                <w:szCs w:val="20"/>
                <w:lang w:val="en-GB"/>
              </w:rPr>
            </w:pPr>
            <w:r>
              <w:rPr>
                <w:rFonts w:ascii="Candara" w:hAnsi="Candara" w:cs="Times New Roman"/>
                <w:sz w:val="20"/>
                <w:szCs w:val="20"/>
                <w:lang w:val="en-GB"/>
              </w:rPr>
              <w:t xml:space="preserve">This is too low a bar. The actual requirement for defining variants </w:t>
            </w:r>
            <w:r w:rsidR="00CB7A2C">
              <w:rPr>
                <w:rFonts w:ascii="Candara" w:hAnsi="Candara" w:cs="Times New Roman"/>
                <w:sz w:val="20"/>
                <w:szCs w:val="20"/>
                <w:lang w:val="en-GB"/>
              </w:rPr>
              <w:t xml:space="preserve">is </w:t>
            </w:r>
            <w:r>
              <w:rPr>
                <w:rFonts w:ascii="Candara" w:hAnsi="Candara" w:cs="Times New Roman"/>
                <w:sz w:val="20"/>
                <w:szCs w:val="20"/>
                <w:lang w:val="en-GB"/>
              </w:rPr>
              <w:t>for code points that users may substitute for one another as equivalent. Where the equivalence is based on appearance, this means identical, or very nearly identical appearance, such that, for example, a variant label entirely constructed from the Tamil cr0ss-script variants would be taken by the user without question as a Malayalam label.</w:t>
            </w:r>
          </w:p>
          <w:p w:rsidR="00830B79" w:rsidRPr="00192CE9" w:rsidRDefault="00830B79" w:rsidP="006F0907">
            <w:pPr>
              <w:spacing w:before="100" w:beforeAutospacing="1" w:after="100" w:afterAutospacing="1"/>
              <w:rPr>
                <w:rFonts w:ascii="Candara" w:hAnsi="Candara" w:cs="Times New Roman"/>
                <w:sz w:val="20"/>
                <w:szCs w:val="20"/>
                <w:lang w:val="en-GB"/>
              </w:rPr>
            </w:pPr>
            <w:r>
              <w:rPr>
                <w:rFonts w:ascii="Candara" w:hAnsi="Candara" w:cs="Times New Roman"/>
                <w:sz w:val="20"/>
                <w:szCs w:val="20"/>
                <w:lang w:val="en-GB"/>
              </w:rPr>
              <w:t>The issue is with the description more than the selection of code points. In all cases listed, it would probably be fair to say that the code points either look identical or very near identical.</w:t>
            </w:r>
          </w:p>
        </w:tc>
        <w:tc>
          <w:tcPr>
            <w:tcW w:w="2840" w:type="dxa"/>
          </w:tcPr>
          <w:p w:rsidR="00830B79" w:rsidRDefault="00830B79" w:rsidP="006F0907">
            <w:r>
              <w:t>Please fix opening paragraph of Section 6.2 to better reflect the actual criteria for selecting these variants.</w:t>
            </w:r>
          </w:p>
        </w:tc>
      </w:tr>
      <w:tr w:rsidR="00A721ED" w:rsidTr="002E28A1">
        <w:tc>
          <w:tcPr>
            <w:tcW w:w="1212" w:type="dxa"/>
          </w:tcPr>
          <w:p w:rsidR="00A721ED" w:rsidRDefault="00A721ED" w:rsidP="009D484C">
            <w:r>
              <w:t>References</w:t>
            </w:r>
          </w:p>
        </w:tc>
        <w:tc>
          <w:tcPr>
            <w:tcW w:w="5524" w:type="dxa"/>
          </w:tcPr>
          <w:p w:rsidR="009D484C" w:rsidRDefault="009D484C" w:rsidP="009D484C">
            <w:pPr>
              <w:pStyle w:val="ListParagraph"/>
              <w:numPr>
                <w:ilvl w:val="0"/>
                <w:numId w:val="6"/>
              </w:numPr>
              <w:ind w:left="228" w:hanging="270"/>
            </w:pPr>
            <w:r>
              <w:t>None of the references provided are actually cited from anywhere in the document.</w:t>
            </w:r>
          </w:p>
          <w:p w:rsidR="009D484C" w:rsidRDefault="009D484C" w:rsidP="009D484C">
            <w:pPr>
              <w:pStyle w:val="ListParagraph"/>
              <w:numPr>
                <w:ilvl w:val="0"/>
                <w:numId w:val="6"/>
              </w:numPr>
              <w:ind w:left="228" w:hanging="270"/>
            </w:pPr>
            <w:r>
              <w:t>Some reference descriptions appear split across two reference items (for example 102 and 103)</w:t>
            </w:r>
          </w:p>
          <w:p w:rsidR="00A721ED" w:rsidRDefault="00A721ED" w:rsidP="009D484C">
            <w:pPr>
              <w:pStyle w:val="ListParagraph"/>
              <w:numPr>
                <w:ilvl w:val="0"/>
                <w:numId w:val="6"/>
              </w:numPr>
              <w:ind w:left="228" w:hanging="270"/>
            </w:pPr>
            <w:r>
              <w:t>For websites, please indicate the name of the Website (e.g. Omniglot) as well as page title in addition to the URL. As appropriate, prove an “accessed on” date. If a document has an identified author</w:t>
            </w:r>
            <w:r w:rsidR="002E28A1">
              <w:t>, publishing</w:t>
            </w:r>
            <w:r>
              <w:t xml:space="preserve"> date, or serial number, please list these, even if that information is somehow also encoded in the URL.</w:t>
            </w:r>
          </w:p>
          <w:p w:rsidR="002E28A1" w:rsidRDefault="002E28A1" w:rsidP="002E28A1">
            <w:pPr>
              <w:pStyle w:val="ListParagraph"/>
              <w:numPr>
                <w:ilvl w:val="0"/>
                <w:numId w:val="6"/>
              </w:numPr>
              <w:ind w:left="228" w:hanging="270"/>
            </w:pPr>
            <w:r>
              <w:t>Reference [131] is not a static link, but a search expression. Please replace with a proper reference and URL</w:t>
            </w:r>
          </w:p>
          <w:p w:rsidR="009625D2" w:rsidRPr="009625D2" w:rsidRDefault="009625D2" w:rsidP="009625D2">
            <w:pPr>
              <w:pStyle w:val="ListParagraph"/>
              <w:numPr>
                <w:ilvl w:val="0"/>
                <w:numId w:val="6"/>
              </w:numPr>
              <w:ind w:left="228" w:hanging="270"/>
            </w:pPr>
            <w:proofErr w:type="gramStart"/>
            <w:r>
              <w:t>the</w:t>
            </w:r>
            <w:proofErr w:type="gramEnd"/>
            <w:r>
              <w:t xml:space="preserve"> document </w:t>
            </w:r>
            <w:hyperlink r:id="rId17" w:history="1">
              <w:r w:rsidRPr="009625D2">
                <w:rPr>
                  <w:rStyle w:val="Hyperlink"/>
                </w:rPr>
                <w:t>https://www.unicode.org/L2/L2005/05213-samvruktokaram.pdf</w:t>
              </w:r>
            </w:hyperlink>
            <w:r>
              <w:br/>
            </w:r>
            <w:r w:rsidRPr="009625D2">
              <w:t xml:space="preserve">seems to address </w:t>
            </w:r>
            <w:proofErr w:type="spellStart"/>
            <w:r>
              <w:rPr>
                <w:bCs/>
                <w:iCs/>
              </w:rPr>
              <w:t>Samvruthokaram</w:t>
            </w:r>
            <w:proofErr w:type="spellEnd"/>
            <w:r>
              <w:rPr>
                <w:bCs/>
                <w:iCs/>
              </w:rPr>
              <w:t xml:space="preserve"> and </w:t>
            </w:r>
            <w:proofErr w:type="spellStart"/>
            <w:r>
              <w:rPr>
                <w:bCs/>
                <w:iCs/>
              </w:rPr>
              <w:t>Chandrakkala</w:t>
            </w:r>
            <w:proofErr w:type="spellEnd"/>
            <w:r>
              <w:rPr>
                <w:bCs/>
                <w:iCs/>
              </w:rPr>
              <w:t xml:space="preserve"> which otherwise appear somewhat mysterious to the non-native reader.</w:t>
            </w:r>
            <w:r w:rsidRPr="009625D2">
              <w:rPr>
                <w:bCs/>
                <w:iCs/>
              </w:rPr>
              <w:t xml:space="preserve"> </w:t>
            </w:r>
            <w:proofErr w:type="gramStart"/>
            <w:r>
              <w:rPr>
                <w:bCs/>
                <w:iCs/>
              </w:rPr>
              <w:t>Perhaps useful to add as reference?</w:t>
            </w:r>
            <w:proofErr w:type="gramEnd"/>
          </w:p>
          <w:p w:rsidR="009625D2" w:rsidRDefault="009625D2" w:rsidP="002E28A1">
            <w:pPr>
              <w:pStyle w:val="ListParagraph"/>
              <w:numPr>
                <w:ilvl w:val="0"/>
                <w:numId w:val="6"/>
              </w:numPr>
              <w:ind w:left="228" w:hanging="270"/>
            </w:pPr>
          </w:p>
        </w:tc>
        <w:tc>
          <w:tcPr>
            <w:tcW w:w="2840" w:type="dxa"/>
          </w:tcPr>
          <w:p w:rsidR="00A721ED" w:rsidRDefault="002E28A1" w:rsidP="009D484C">
            <w:r>
              <w:t>Please make edits as suggested</w:t>
            </w:r>
          </w:p>
        </w:tc>
      </w:tr>
      <w:tr w:rsidR="0005427D" w:rsidTr="00746FBA">
        <w:tc>
          <w:tcPr>
            <w:tcW w:w="1212" w:type="dxa"/>
          </w:tcPr>
          <w:p w:rsidR="0005427D" w:rsidRDefault="0005427D" w:rsidP="00746FBA">
            <w:r w:rsidRPr="006762FE">
              <w:t>§10.</w:t>
            </w:r>
            <w:r>
              <w:t>1</w:t>
            </w:r>
          </w:p>
        </w:tc>
        <w:tc>
          <w:tcPr>
            <w:tcW w:w="5524" w:type="dxa"/>
          </w:tcPr>
          <w:p w:rsidR="0005427D" w:rsidRDefault="0005427D" w:rsidP="00746FBA">
            <w:pPr>
              <w:ind w:left="-42"/>
            </w:pPr>
            <w:r>
              <w:t>Please note that the Unicode Standard explicitly suggests that the sequence equivalents for 0D4A, 0D4B and 0D57 should not be used. This fact should be documented by reference, even though it doesn’t change the result, which is that the sequences are excluded by akshar formation rules.</w:t>
            </w:r>
          </w:p>
        </w:tc>
        <w:tc>
          <w:tcPr>
            <w:tcW w:w="2840" w:type="dxa"/>
          </w:tcPr>
          <w:p w:rsidR="0005427D" w:rsidRDefault="0005427D" w:rsidP="00746FBA">
            <w:r>
              <w:t>Please review the suggested edit and adjust as appropriate</w:t>
            </w:r>
          </w:p>
        </w:tc>
      </w:tr>
      <w:tr w:rsidR="006762FE" w:rsidTr="002E28A1">
        <w:tc>
          <w:tcPr>
            <w:tcW w:w="1212" w:type="dxa"/>
          </w:tcPr>
          <w:p w:rsidR="006762FE" w:rsidRPr="006762FE" w:rsidRDefault="006762FE" w:rsidP="009D484C">
            <w:pPr>
              <w:rPr>
                <w:lang w:val="de-DE"/>
              </w:rPr>
            </w:pPr>
            <w:r>
              <w:t>§10.3.3</w:t>
            </w:r>
          </w:p>
        </w:tc>
        <w:tc>
          <w:tcPr>
            <w:tcW w:w="5524" w:type="dxa"/>
          </w:tcPr>
          <w:p w:rsidR="006762FE" w:rsidRDefault="006762FE" w:rsidP="006762FE">
            <w:pPr>
              <w:ind w:left="-42"/>
            </w:pPr>
            <w:r>
              <w:t>This section is misnumbered as 6.2.3.</w:t>
            </w:r>
          </w:p>
        </w:tc>
        <w:tc>
          <w:tcPr>
            <w:tcW w:w="2840" w:type="dxa"/>
          </w:tcPr>
          <w:p w:rsidR="006762FE" w:rsidRDefault="006762FE" w:rsidP="009D484C">
            <w:r>
              <w:t>please fix</w:t>
            </w:r>
          </w:p>
        </w:tc>
      </w:tr>
    </w:tbl>
    <w:p w:rsidR="009D484C" w:rsidRDefault="009D484C"/>
    <w:p w:rsidR="00A721ED" w:rsidRPr="00A721ED" w:rsidRDefault="00A721ED" w:rsidP="0005427D">
      <w:pPr>
        <w:pStyle w:val="Heading1"/>
      </w:pPr>
      <w:r>
        <w:t>Whole Label Evaluation Rules</w:t>
      </w:r>
    </w:p>
    <w:tbl>
      <w:tblPr>
        <w:tblStyle w:val="TableGrid"/>
        <w:tblW w:w="0" w:type="auto"/>
        <w:tblLook w:val="04A0"/>
      </w:tblPr>
      <w:tblGrid>
        <w:gridCol w:w="1172"/>
        <w:gridCol w:w="5337"/>
        <w:gridCol w:w="3067"/>
      </w:tblGrid>
      <w:tr w:rsidR="00A721ED" w:rsidRPr="00A721ED" w:rsidTr="009D484C">
        <w:tc>
          <w:tcPr>
            <w:tcW w:w="1172" w:type="dxa"/>
          </w:tcPr>
          <w:p w:rsidR="00A721ED" w:rsidRPr="00A721ED" w:rsidRDefault="00A721ED" w:rsidP="00A721ED">
            <w:pPr>
              <w:pStyle w:val="NoSpacing"/>
              <w:rPr>
                <w:b/>
                <w:bCs/>
              </w:rPr>
            </w:pPr>
            <w:r w:rsidRPr="00A721ED">
              <w:rPr>
                <w:b/>
                <w:bCs/>
              </w:rPr>
              <w:t>Item</w:t>
            </w:r>
          </w:p>
        </w:tc>
        <w:tc>
          <w:tcPr>
            <w:tcW w:w="5337" w:type="dxa"/>
          </w:tcPr>
          <w:p w:rsidR="00A721ED" w:rsidRPr="00A721ED" w:rsidRDefault="00A721ED" w:rsidP="00A721ED">
            <w:pPr>
              <w:pStyle w:val="NoSpacing"/>
              <w:rPr>
                <w:b/>
                <w:bCs/>
              </w:rPr>
            </w:pPr>
            <w:r w:rsidRPr="00A721ED">
              <w:rPr>
                <w:b/>
                <w:bCs/>
              </w:rPr>
              <w:t>Issue</w:t>
            </w:r>
          </w:p>
        </w:tc>
        <w:tc>
          <w:tcPr>
            <w:tcW w:w="3067" w:type="dxa"/>
          </w:tcPr>
          <w:p w:rsidR="00A721ED" w:rsidRPr="00A721ED" w:rsidRDefault="00A721ED" w:rsidP="00A721ED">
            <w:pPr>
              <w:pStyle w:val="NoSpacing"/>
              <w:rPr>
                <w:b/>
                <w:bCs/>
              </w:rPr>
            </w:pPr>
            <w:r w:rsidRPr="00A721ED">
              <w:rPr>
                <w:b/>
                <w:bCs/>
              </w:rPr>
              <w:t>IP Comment</w:t>
            </w:r>
          </w:p>
        </w:tc>
      </w:tr>
      <w:tr w:rsidR="00A721ED" w:rsidRPr="00A721ED" w:rsidTr="009D484C">
        <w:tc>
          <w:tcPr>
            <w:tcW w:w="1172" w:type="dxa"/>
          </w:tcPr>
          <w:p w:rsidR="00A721ED" w:rsidRPr="000A2F01" w:rsidRDefault="000A2F01" w:rsidP="00A721ED">
            <w:pPr>
              <w:spacing w:after="200" w:line="276" w:lineRule="auto"/>
            </w:pPr>
            <w:r>
              <w:rPr>
                <w:lang w:val="de-DE"/>
              </w:rPr>
              <w:t>§7</w:t>
            </w:r>
          </w:p>
        </w:tc>
        <w:tc>
          <w:tcPr>
            <w:tcW w:w="5337" w:type="dxa"/>
          </w:tcPr>
          <w:p w:rsidR="000A2F01" w:rsidRDefault="000A2F01" w:rsidP="000A2F01">
            <w:pPr>
              <w:pStyle w:val="ListParagraph"/>
              <w:numPr>
                <w:ilvl w:val="0"/>
                <w:numId w:val="10"/>
              </w:numPr>
            </w:pPr>
            <w:r>
              <w:t xml:space="preserve">There is the feeling that the abbreviation CH can be misread for C+H. </w:t>
            </w:r>
            <w:proofErr w:type="gramStart"/>
            <w:r>
              <w:t>Perhaps use a different letter?</w:t>
            </w:r>
            <w:proofErr w:type="gramEnd"/>
            <w:r>
              <w:t xml:space="preserve"> </w:t>
            </w:r>
          </w:p>
          <w:p w:rsidR="000A2F01" w:rsidRDefault="000A2F01" w:rsidP="000A2F01">
            <w:pPr>
              <w:pStyle w:val="ListParagraph"/>
              <w:ind w:left="360"/>
            </w:pPr>
            <w:r>
              <w:t>(This would apply to the XML, including names of rules and classes).</w:t>
            </w:r>
          </w:p>
          <w:p w:rsidR="00A721ED" w:rsidRPr="00A721ED" w:rsidRDefault="0005427D" w:rsidP="000A2F01">
            <w:pPr>
              <w:pStyle w:val="ListParagraph"/>
              <w:numPr>
                <w:ilvl w:val="0"/>
                <w:numId w:val="10"/>
              </w:numPr>
            </w:pPr>
            <w:r>
              <w:t xml:space="preserve">At this </w:t>
            </w:r>
            <w:proofErr w:type="gramStart"/>
            <w:r>
              <w:t>point</w:t>
            </w:r>
            <w:proofErr w:type="gramEnd"/>
            <w:r>
              <w:t xml:space="preserve"> the IP has no</w:t>
            </w:r>
            <w:r w:rsidR="000A2F01">
              <w:t xml:space="preserve"> other</w:t>
            </w:r>
            <w:r>
              <w:t xml:space="preserve"> issues with the content or formulation of the WLE and context rules. (See report of test results below).</w:t>
            </w:r>
          </w:p>
        </w:tc>
        <w:tc>
          <w:tcPr>
            <w:tcW w:w="3067" w:type="dxa"/>
          </w:tcPr>
          <w:p w:rsidR="00A721ED" w:rsidRPr="00A721ED" w:rsidRDefault="000A2F01" w:rsidP="00A721ED">
            <w:pPr>
              <w:spacing w:after="200" w:line="276" w:lineRule="auto"/>
            </w:pPr>
            <w:r>
              <w:t>Please consider replacing the abbreviation.</w:t>
            </w:r>
          </w:p>
        </w:tc>
      </w:tr>
    </w:tbl>
    <w:p w:rsidR="00A721ED" w:rsidRDefault="00A721ED" w:rsidP="00A721ED">
      <w:pPr>
        <w:ind w:left="432"/>
        <w:rPr>
          <w:b/>
          <w:bCs/>
        </w:rPr>
      </w:pPr>
    </w:p>
    <w:p w:rsidR="00A721ED" w:rsidRPr="00A721ED" w:rsidRDefault="00A721ED" w:rsidP="0005427D">
      <w:pPr>
        <w:pStyle w:val="Heading1"/>
      </w:pPr>
      <w:r>
        <w:t>XML file specific</w:t>
      </w:r>
    </w:p>
    <w:tbl>
      <w:tblPr>
        <w:tblStyle w:val="TableGrid"/>
        <w:tblW w:w="0" w:type="auto"/>
        <w:tblLook w:val="04A0"/>
      </w:tblPr>
      <w:tblGrid>
        <w:gridCol w:w="1438"/>
        <w:gridCol w:w="5148"/>
        <w:gridCol w:w="2990"/>
      </w:tblGrid>
      <w:tr w:rsidR="00A721ED" w:rsidRPr="00A721ED" w:rsidTr="00B60953">
        <w:tc>
          <w:tcPr>
            <w:tcW w:w="1438" w:type="dxa"/>
          </w:tcPr>
          <w:p w:rsidR="00A721ED" w:rsidRPr="00A721ED" w:rsidRDefault="00A721ED" w:rsidP="00A721ED">
            <w:pPr>
              <w:pStyle w:val="NoSpacing"/>
              <w:rPr>
                <w:b/>
                <w:bCs/>
              </w:rPr>
            </w:pPr>
            <w:r w:rsidRPr="00A721ED">
              <w:rPr>
                <w:b/>
                <w:bCs/>
              </w:rPr>
              <w:t>Item</w:t>
            </w:r>
          </w:p>
        </w:tc>
        <w:tc>
          <w:tcPr>
            <w:tcW w:w="5148" w:type="dxa"/>
          </w:tcPr>
          <w:p w:rsidR="00A721ED" w:rsidRPr="00A721ED" w:rsidRDefault="00A721ED" w:rsidP="00A721ED">
            <w:pPr>
              <w:pStyle w:val="NoSpacing"/>
              <w:rPr>
                <w:b/>
                <w:bCs/>
              </w:rPr>
            </w:pPr>
            <w:r w:rsidRPr="00A721ED">
              <w:rPr>
                <w:b/>
                <w:bCs/>
              </w:rPr>
              <w:t>Issue</w:t>
            </w:r>
          </w:p>
        </w:tc>
        <w:tc>
          <w:tcPr>
            <w:tcW w:w="2990" w:type="dxa"/>
          </w:tcPr>
          <w:p w:rsidR="00A721ED" w:rsidRPr="00A721ED" w:rsidRDefault="00A721ED" w:rsidP="00A721ED">
            <w:pPr>
              <w:pStyle w:val="NoSpacing"/>
              <w:rPr>
                <w:b/>
                <w:bCs/>
              </w:rPr>
            </w:pPr>
            <w:r w:rsidRPr="00A721ED">
              <w:rPr>
                <w:b/>
                <w:bCs/>
              </w:rPr>
              <w:t>IP Comment</w:t>
            </w:r>
          </w:p>
        </w:tc>
      </w:tr>
      <w:tr w:rsidR="00A721ED" w:rsidRPr="00A721ED" w:rsidTr="00B60953">
        <w:tc>
          <w:tcPr>
            <w:tcW w:w="1438" w:type="dxa"/>
          </w:tcPr>
          <w:p w:rsidR="00A721ED" w:rsidRPr="00A721ED" w:rsidRDefault="009625D2" w:rsidP="00A721ED">
            <w:pPr>
              <w:spacing w:after="200" w:line="276" w:lineRule="auto"/>
            </w:pPr>
            <w:r>
              <w:t>XML: &lt;description&gt;</w:t>
            </w:r>
          </w:p>
        </w:tc>
        <w:tc>
          <w:tcPr>
            <w:tcW w:w="5148" w:type="dxa"/>
          </w:tcPr>
          <w:p w:rsidR="00B60953" w:rsidRDefault="009625D2" w:rsidP="00B60953">
            <w:pPr>
              <w:pStyle w:val="ListParagraph"/>
              <w:numPr>
                <w:ilvl w:val="0"/>
                <w:numId w:val="8"/>
              </w:numPr>
              <w:ind w:left="362"/>
            </w:pPr>
            <w:r w:rsidRPr="009625D2">
              <w:t>There is no explanatory section on "Character Classes" between sections on "Variants" and "Background of Malayalam Script".</w:t>
            </w:r>
            <w:r w:rsidR="00670774">
              <w:t xml:space="preserve"> [A placeholder has been added, which the GP needs to replace with its own text].</w:t>
            </w:r>
          </w:p>
          <w:p w:rsidR="00670774" w:rsidRPr="00A721ED" w:rsidRDefault="00B60953" w:rsidP="00B60953">
            <w:pPr>
              <w:pStyle w:val="ListParagraph"/>
              <w:numPr>
                <w:ilvl w:val="0"/>
                <w:numId w:val="8"/>
              </w:numPr>
              <w:ind w:left="362"/>
            </w:pPr>
            <w:r>
              <w:t>Minor typos, Explicit place holder for script LGR proposal</w:t>
            </w:r>
          </w:p>
        </w:tc>
        <w:tc>
          <w:tcPr>
            <w:tcW w:w="2990" w:type="dxa"/>
          </w:tcPr>
          <w:p w:rsidR="00A721ED" w:rsidRPr="00A721ED" w:rsidRDefault="00670774" w:rsidP="00B60953">
            <w:pPr>
              <w:spacing w:after="200" w:line="276" w:lineRule="auto"/>
            </w:pPr>
            <w:r>
              <w:t xml:space="preserve">Replace placeholders and review </w:t>
            </w:r>
            <w:r w:rsidR="00B60953">
              <w:t>suggested edits in accompanying XML.</w:t>
            </w:r>
          </w:p>
        </w:tc>
      </w:tr>
      <w:tr w:rsidR="00BC02A7" w:rsidRPr="00424AF3" w:rsidTr="00B60953">
        <w:tc>
          <w:tcPr>
            <w:tcW w:w="1438" w:type="dxa"/>
          </w:tcPr>
          <w:p w:rsidR="00BC02A7" w:rsidRPr="00424AF3" w:rsidRDefault="00BC02A7" w:rsidP="009D484C">
            <w:pPr>
              <w:spacing w:before="100" w:beforeAutospacing="1" w:after="100" w:afterAutospacing="1"/>
              <w:rPr>
                <w:rFonts w:ascii="Candara" w:hAnsi="Candara" w:cs="Times New Roman"/>
                <w:b/>
                <w:bCs/>
                <w:lang w:val="en-GB"/>
              </w:rPr>
            </w:pPr>
            <w:r w:rsidRPr="00424AF3">
              <w:rPr>
                <w:rFonts w:ascii="Candara" w:hAnsi="Candara" w:cs="Times New Roman"/>
                <w:lang w:val="en-GB"/>
              </w:rPr>
              <w:t>XML: Comments on &lt;class&gt; element:</w:t>
            </w:r>
          </w:p>
        </w:tc>
        <w:tc>
          <w:tcPr>
            <w:tcW w:w="5148" w:type="dxa"/>
          </w:tcPr>
          <w:p w:rsidR="00BC02A7" w:rsidDel="00B143BD" w:rsidRDefault="00BC02A7" w:rsidP="009D484C">
            <w:pPr>
              <w:rPr>
                <w:lang w:val="en-GB"/>
              </w:rPr>
            </w:pPr>
            <w:r>
              <w:rPr>
                <w:lang w:val="en-GB"/>
              </w:rPr>
              <w:t>There are no comments on the class elements.</w:t>
            </w:r>
          </w:p>
        </w:tc>
        <w:tc>
          <w:tcPr>
            <w:tcW w:w="2990" w:type="dxa"/>
          </w:tcPr>
          <w:p w:rsidR="00BC02A7" w:rsidRDefault="00CB7A2C" w:rsidP="009D484C">
            <w:pPr>
              <w:spacing w:before="100" w:beforeAutospacing="1" w:after="100" w:afterAutospacing="1"/>
              <w:rPr>
                <w:rFonts w:ascii="Candara" w:hAnsi="Candara" w:cs="Times New Roman"/>
                <w:lang w:val="en-GB"/>
              </w:rPr>
            </w:pPr>
            <w:r w:rsidRPr="00424AF3">
              <w:rPr>
                <w:rFonts w:ascii="Candara" w:hAnsi="Candara" w:cs="Times New Roman"/>
                <w:lang w:val="en-GB"/>
              </w:rPr>
              <w:t>Please</w:t>
            </w:r>
            <w:r w:rsidR="00BC02A7" w:rsidRPr="00424AF3">
              <w:rPr>
                <w:rFonts w:ascii="Candara" w:hAnsi="Candara" w:cs="Times New Roman"/>
                <w:lang w:val="en-GB"/>
              </w:rPr>
              <w:t xml:space="preserve"> use this comment field to describe the content</w:t>
            </w:r>
            <w:r w:rsidR="00BC02A7">
              <w:rPr>
                <w:rFonts w:ascii="Candara" w:hAnsi="Candara" w:cs="Times New Roman"/>
                <w:lang w:val="en-GB"/>
              </w:rPr>
              <w:t>s</w:t>
            </w:r>
            <w:r w:rsidR="00BC02A7" w:rsidRPr="00424AF3">
              <w:rPr>
                <w:rFonts w:ascii="Candara" w:hAnsi="Candara" w:cs="Times New Roman"/>
                <w:lang w:val="en-GB"/>
              </w:rPr>
              <w:t xml:space="preserve"> of each </w:t>
            </w:r>
            <w:r w:rsidR="00BC02A7" w:rsidRPr="00424AF3">
              <w:rPr>
                <w:rFonts w:ascii="Candara" w:hAnsi="Candara" w:cs="Times New Roman"/>
                <w:i/>
                <w:iCs/>
                <w:lang w:val="en-GB"/>
              </w:rPr>
              <w:t xml:space="preserve">named </w:t>
            </w:r>
            <w:r w:rsidR="00BC02A7" w:rsidRPr="00424AF3">
              <w:rPr>
                <w:rFonts w:ascii="Candara" w:hAnsi="Candara" w:cs="Times New Roman"/>
                <w:lang w:val="en-GB"/>
              </w:rPr>
              <w:t>class.</w:t>
            </w:r>
          </w:p>
          <w:p w:rsidR="00BC02A7" w:rsidRPr="00424AF3" w:rsidRDefault="00BC02A7" w:rsidP="009D484C">
            <w:pPr>
              <w:spacing w:before="100" w:beforeAutospacing="1" w:after="100" w:afterAutospacing="1"/>
              <w:rPr>
                <w:rFonts w:ascii="Candara" w:hAnsi="Candara" w:cs="Times New Roman"/>
                <w:lang w:val="en-GB"/>
              </w:rPr>
            </w:pPr>
          </w:p>
        </w:tc>
      </w:tr>
      <w:tr w:rsidR="00BC02A7" w:rsidTr="00B60953">
        <w:tc>
          <w:tcPr>
            <w:tcW w:w="1438" w:type="dxa"/>
          </w:tcPr>
          <w:p w:rsidR="00BC02A7" w:rsidRPr="005B0E59" w:rsidRDefault="00BC02A7" w:rsidP="009D484C">
            <w:pPr>
              <w:spacing w:before="100" w:beforeAutospacing="1" w:after="100" w:afterAutospacing="1"/>
              <w:rPr>
                <w:rFonts w:ascii="Candara" w:hAnsi="Candara" w:cs="Times New Roman"/>
                <w:b/>
                <w:bCs/>
              </w:rPr>
            </w:pPr>
            <w:r>
              <w:rPr>
                <w:rFonts w:ascii="Candara" w:hAnsi="Candara" w:cs="Times New Roman"/>
                <w:b/>
                <w:bCs/>
              </w:rPr>
              <w:t>Detailed editing</w:t>
            </w:r>
          </w:p>
        </w:tc>
        <w:tc>
          <w:tcPr>
            <w:tcW w:w="5148" w:type="dxa"/>
          </w:tcPr>
          <w:p w:rsidR="00BC02A7" w:rsidRDefault="00BC02A7" w:rsidP="009D484C">
            <w:pPr>
              <w:spacing w:before="100" w:beforeAutospacing="1" w:after="100" w:afterAutospacing="1"/>
              <w:rPr>
                <w:rFonts w:ascii="Times" w:hAnsi="Times" w:cs="Times New Roman"/>
                <w:lang w:val="en-GB"/>
              </w:rPr>
            </w:pPr>
            <w:r>
              <w:rPr>
                <w:rFonts w:ascii="Times" w:hAnsi="Times" w:cs="Times New Roman"/>
                <w:lang w:val="en-GB"/>
              </w:rPr>
              <w:t>Copy of XML included with suggested changes.</w:t>
            </w:r>
          </w:p>
        </w:tc>
        <w:tc>
          <w:tcPr>
            <w:tcW w:w="2990" w:type="dxa"/>
          </w:tcPr>
          <w:p w:rsidR="00BC02A7" w:rsidRDefault="00BC02A7" w:rsidP="009D484C">
            <w:pPr>
              <w:spacing w:before="100" w:beforeAutospacing="1" w:after="100" w:afterAutospacing="1"/>
              <w:rPr>
                <w:rFonts w:ascii="Times" w:hAnsi="Times" w:cs="Times New Roman"/>
                <w:lang w:val="en-GB"/>
              </w:rPr>
            </w:pPr>
            <w:r>
              <w:rPr>
                <w:rFonts w:ascii="Times" w:hAnsi="Times" w:cs="Times New Roman"/>
                <w:lang w:val="en-GB"/>
              </w:rPr>
              <w:t>Please compare to the version submitted for feedback and note suggested changes, review and use as basis for further edits.</w:t>
            </w:r>
          </w:p>
        </w:tc>
      </w:tr>
    </w:tbl>
    <w:p w:rsidR="00A721ED" w:rsidRDefault="00A721ED" w:rsidP="00A721ED">
      <w:pPr>
        <w:ind w:left="432"/>
        <w:rPr>
          <w:b/>
          <w:bCs/>
        </w:rPr>
      </w:pPr>
    </w:p>
    <w:p w:rsidR="00A721ED" w:rsidRPr="00A721ED" w:rsidRDefault="00A721ED" w:rsidP="0005427D">
      <w:pPr>
        <w:pStyle w:val="Heading1"/>
      </w:pPr>
      <w:r>
        <w:t>Test files</w:t>
      </w:r>
    </w:p>
    <w:tbl>
      <w:tblPr>
        <w:tblStyle w:val="TableGrid"/>
        <w:tblW w:w="0" w:type="auto"/>
        <w:tblLook w:val="04A0"/>
      </w:tblPr>
      <w:tblGrid>
        <w:gridCol w:w="1172"/>
        <w:gridCol w:w="5337"/>
        <w:gridCol w:w="3067"/>
      </w:tblGrid>
      <w:tr w:rsidR="00A721ED" w:rsidRPr="00A721ED" w:rsidTr="009D484C">
        <w:tc>
          <w:tcPr>
            <w:tcW w:w="1172" w:type="dxa"/>
          </w:tcPr>
          <w:p w:rsidR="00A721ED" w:rsidRPr="00A721ED" w:rsidRDefault="00A721ED" w:rsidP="00A721ED">
            <w:pPr>
              <w:pStyle w:val="NoSpacing"/>
              <w:rPr>
                <w:b/>
                <w:bCs/>
              </w:rPr>
            </w:pPr>
            <w:r w:rsidRPr="00A721ED">
              <w:rPr>
                <w:b/>
                <w:bCs/>
              </w:rPr>
              <w:t>Item</w:t>
            </w:r>
          </w:p>
        </w:tc>
        <w:tc>
          <w:tcPr>
            <w:tcW w:w="5337" w:type="dxa"/>
          </w:tcPr>
          <w:p w:rsidR="00A721ED" w:rsidRPr="00A721ED" w:rsidRDefault="00A721ED" w:rsidP="00A721ED">
            <w:pPr>
              <w:pStyle w:val="NoSpacing"/>
              <w:rPr>
                <w:b/>
                <w:bCs/>
              </w:rPr>
            </w:pPr>
            <w:r w:rsidRPr="00A721ED">
              <w:rPr>
                <w:b/>
                <w:bCs/>
              </w:rPr>
              <w:t>Issue</w:t>
            </w:r>
          </w:p>
        </w:tc>
        <w:tc>
          <w:tcPr>
            <w:tcW w:w="3067" w:type="dxa"/>
          </w:tcPr>
          <w:p w:rsidR="00A721ED" w:rsidRPr="00A721ED" w:rsidRDefault="00A721ED" w:rsidP="00A721ED">
            <w:pPr>
              <w:pStyle w:val="NoSpacing"/>
              <w:rPr>
                <w:b/>
                <w:bCs/>
              </w:rPr>
            </w:pPr>
            <w:r w:rsidRPr="00A721ED">
              <w:rPr>
                <w:b/>
                <w:bCs/>
              </w:rPr>
              <w:t>IP Comment</w:t>
            </w:r>
          </w:p>
        </w:tc>
      </w:tr>
      <w:tr w:rsidR="00A721ED" w:rsidRPr="00A721ED" w:rsidTr="009D484C">
        <w:tc>
          <w:tcPr>
            <w:tcW w:w="1172" w:type="dxa"/>
          </w:tcPr>
          <w:p w:rsidR="00A721ED" w:rsidRPr="00A721ED" w:rsidRDefault="00A721ED" w:rsidP="00A721ED">
            <w:pPr>
              <w:spacing w:after="200" w:line="276" w:lineRule="auto"/>
            </w:pPr>
            <w:r>
              <w:t>Test file</w:t>
            </w:r>
          </w:p>
        </w:tc>
        <w:tc>
          <w:tcPr>
            <w:tcW w:w="5337" w:type="dxa"/>
          </w:tcPr>
          <w:p w:rsidR="00A721ED" w:rsidRDefault="00A721ED" w:rsidP="00A721ED">
            <w:pPr>
              <w:pStyle w:val="ListParagraph"/>
              <w:numPr>
                <w:ilvl w:val="0"/>
                <w:numId w:val="4"/>
              </w:numPr>
              <w:ind w:left="268" w:hanging="268"/>
            </w:pPr>
            <w:r>
              <w:t>the file submitted was more in the nature of a corpus file, useful for investigating the sufficiency of the WLE rules.</w:t>
            </w:r>
          </w:p>
          <w:p w:rsidR="00A721ED" w:rsidRDefault="00A721ED" w:rsidP="00A721ED">
            <w:pPr>
              <w:pStyle w:val="ListParagraph"/>
              <w:numPr>
                <w:ilvl w:val="0"/>
                <w:numId w:val="4"/>
              </w:numPr>
              <w:ind w:left="268" w:hanging="268"/>
            </w:pPr>
            <w:r>
              <w:t>the file contained the pre-Unicode 5.1 Chillu sequences, not the atomic chillus</w:t>
            </w:r>
          </w:p>
          <w:p w:rsidR="00A721ED" w:rsidRDefault="00A721ED" w:rsidP="00A721ED">
            <w:pPr>
              <w:pStyle w:val="ListParagraph"/>
              <w:numPr>
                <w:ilvl w:val="0"/>
                <w:numId w:val="4"/>
              </w:numPr>
              <w:ind w:left="268" w:hanging="268"/>
            </w:pPr>
            <w:r>
              <w:t xml:space="preserve">what the IP is looking for in a </w:t>
            </w:r>
            <w:r>
              <w:rPr>
                <w:b/>
                <w:bCs/>
              </w:rPr>
              <w:t>test</w:t>
            </w:r>
            <w:r>
              <w:t xml:space="preserve"> file is</w:t>
            </w:r>
          </w:p>
          <w:p w:rsidR="00A721ED" w:rsidRDefault="00A721ED" w:rsidP="00A721ED">
            <w:pPr>
              <w:pStyle w:val="ListParagraph"/>
              <w:numPr>
                <w:ilvl w:val="1"/>
                <w:numId w:val="4"/>
              </w:numPr>
              <w:ind w:left="448" w:hanging="180"/>
            </w:pPr>
            <w:r>
              <w:t>modest length &lt; 1K entries</w:t>
            </w:r>
          </w:p>
          <w:p w:rsidR="00A721ED" w:rsidRDefault="00A721ED" w:rsidP="00A721ED">
            <w:pPr>
              <w:pStyle w:val="ListParagraph"/>
              <w:numPr>
                <w:ilvl w:val="1"/>
                <w:numId w:val="4"/>
              </w:numPr>
              <w:ind w:left="448" w:hanging="180"/>
            </w:pPr>
            <w:r>
              <w:t>good coverage of all code point classes</w:t>
            </w:r>
          </w:p>
          <w:p w:rsidR="00A721ED" w:rsidRDefault="00A721ED" w:rsidP="00A721ED">
            <w:pPr>
              <w:pStyle w:val="ListParagraph"/>
              <w:numPr>
                <w:ilvl w:val="1"/>
                <w:numId w:val="4"/>
              </w:numPr>
              <w:ind w:left="448" w:hanging="180"/>
            </w:pPr>
            <w:r>
              <w:t>good coverage of all code point contexts</w:t>
            </w:r>
          </w:p>
          <w:p w:rsidR="00A721ED" w:rsidRDefault="00A721ED" w:rsidP="00A721ED">
            <w:pPr>
              <w:pStyle w:val="ListParagraph"/>
              <w:numPr>
                <w:ilvl w:val="1"/>
                <w:numId w:val="4"/>
              </w:numPr>
              <w:ind w:left="448" w:hanging="180"/>
            </w:pPr>
            <w:r>
              <w:t>invalid and valid labels all one label per line</w:t>
            </w:r>
          </w:p>
          <w:p w:rsidR="00A721ED" w:rsidRDefault="00A721ED" w:rsidP="00A721ED">
            <w:pPr>
              <w:pStyle w:val="ListParagraph"/>
              <w:numPr>
                <w:ilvl w:val="1"/>
                <w:numId w:val="4"/>
              </w:numPr>
              <w:ind w:left="448" w:hanging="180"/>
            </w:pPr>
            <w:r>
              <w:t>a file organized in sections (with full line section headers using # at the start of the line)</w:t>
            </w:r>
          </w:p>
          <w:p w:rsidR="00A721ED" w:rsidRDefault="00A721ED" w:rsidP="00A721ED">
            <w:pPr>
              <w:pStyle w:val="ListParagraph"/>
              <w:numPr>
                <w:ilvl w:val="1"/>
                <w:numId w:val="4"/>
              </w:numPr>
              <w:ind w:left="448" w:hanging="180"/>
            </w:pPr>
            <w:r>
              <w:t>each section to give one type if invalid label</w:t>
            </w:r>
          </w:p>
          <w:p w:rsidR="00A721ED" w:rsidRPr="00A721ED" w:rsidRDefault="00A721ED" w:rsidP="00A721ED">
            <w:pPr>
              <w:pStyle w:val="ListParagraph"/>
              <w:numPr>
                <w:ilvl w:val="1"/>
                <w:numId w:val="4"/>
              </w:numPr>
              <w:ind w:left="448" w:hanging="180"/>
            </w:pPr>
            <w:r>
              <w:t>a separate file listing cross-script variant labels</w:t>
            </w:r>
          </w:p>
        </w:tc>
        <w:tc>
          <w:tcPr>
            <w:tcW w:w="3067" w:type="dxa"/>
          </w:tcPr>
          <w:p w:rsidR="00A721ED" w:rsidRPr="00A721ED" w:rsidRDefault="000A2F01" w:rsidP="00A721ED">
            <w:pPr>
              <w:spacing w:after="200" w:line="276" w:lineRule="auto"/>
            </w:pPr>
            <w:r>
              <w:t>P</w:t>
            </w:r>
            <w:r w:rsidR="00A721ED">
              <w:t>lease provide test file</w:t>
            </w:r>
            <w:r>
              <w:t xml:space="preserve"> according to specification.</w:t>
            </w:r>
          </w:p>
        </w:tc>
      </w:tr>
    </w:tbl>
    <w:p w:rsidR="00A721ED" w:rsidRDefault="00A721ED"/>
    <w:p w:rsidR="00A721ED" w:rsidRDefault="00A721ED" w:rsidP="0005427D">
      <w:pPr>
        <w:pStyle w:val="Heading2"/>
      </w:pPr>
      <w:r>
        <w:t>Corpus file analysis results</w:t>
      </w:r>
    </w:p>
    <w:p w:rsidR="00A721ED" w:rsidRDefault="00A721ED">
      <w:r>
        <w:t>The IP evaluated both the corpus file delivered “Malayalam-test-labels.txt” as well as a separate corpus.</w:t>
      </w:r>
    </w:p>
    <w:p w:rsidR="00A721ED" w:rsidRDefault="00A721ED">
      <w:r>
        <w:t>Neither used the atomic chillu representation</w:t>
      </w:r>
      <w:r w:rsidR="0005427D">
        <w:t>,</w:t>
      </w:r>
      <w:r>
        <w:t xml:space="preserve"> so the IP converted the files</w:t>
      </w:r>
      <w:r w:rsidR="0005427D">
        <w:t xml:space="preserve"> and normalized them to NFC</w:t>
      </w:r>
      <w:r>
        <w:t>.</w:t>
      </w:r>
    </w:p>
    <w:p w:rsidR="00D7142E" w:rsidRDefault="0005427D">
      <w:r w:rsidRPr="00D7142E">
        <w:rPr>
          <w:b/>
          <w:bCs/>
        </w:rPr>
        <w:t>Corpus U</w:t>
      </w:r>
      <w:r>
        <w:t xml:space="preserve">: </w:t>
      </w:r>
      <w:r w:rsidR="00D7142E">
        <w:t>9861 valid Labels (single words)</w:t>
      </w:r>
    </w:p>
    <w:p w:rsidR="0005427D" w:rsidRDefault="00D7142E">
      <w:r>
        <w:t xml:space="preserve">                T</w:t>
      </w:r>
      <w:r w:rsidR="0005427D">
        <w:t>his corpus had no invalid labels other than out-of-repertoire due to use of 04DC in corpus.</w:t>
      </w:r>
    </w:p>
    <w:p w:rsidR="0005427D" w:rsidRDefault="00D7142E">
      <w:r>
        <w:t xml:space="preserve">                T</w:t>
      </w:r>
      <w:r w:rsidR="0005427D">
        <w:t>he following code points were not found: {</w:t>
      </w:r>
      <w:r w:rsidR="0005427D" w:rsidRPr="0005427D">
        <w:t>0D0B 0D1D 0D57 0D7F</w:t>
      </w:r>
      <w:r w:rsidR="0005427D">
        <w:t>}</w:t>
      </w:r>
    </w:p>
    <w:p w:rsidR="0005427D" w:rsidRDefault="0005427D" w:rsidP="00D7142E">
      <w:pPr>
        <w:ind w:left="720"/>
      </w:pPr>
      <w:r>
        <w:t xml:space="preserve"> The only contexts </w:t>
      </w:r>
      <w:r w:rsidR="00D7142E">
        <w:t xml:space="preserve">recorded from </w:t>
      </w:r>
      <w:r>
        <w:t>this corpus were of the form</w:t>
      </w:r>
    </w:p>
    <w:p w:rsidR="0005427D" w:rsidRDefault="0005427D" w:rsidP="00D7142E">
      <w:pPr>
        <w:ind w:left="720"/>
      </w:pPr>
      <w:r>
        <w:t xml:space="preserve">    [:Consonant:] </w:t>
      </w:r>
      <w:r>
        <w:rPr>
          <w:rFonts w:ascii="Calibri" w:hAnsi="Calibri" w:cs="Calibri"/>
        </w:rPr>
        <w:t>⚓=[:Halant:]</w:t>
      </w:r>
    </w:p>
    <w:p w:rsidR="0005427D" w:rsidRDefault="0005427D" w:rsidP="00D7142E">
      <w:pPr>
        <w:ind w:left="720"/>
      </w:pPr>
      <w:r>
        <w:t xml:space="preserve">    [:Consonant:] </w:t>
      </w:r>
      <w:r>
        <w:rPr>
          <w:rFonts w:ascii="Calibri" w:hAnsi="Calibri" w:cs="Calibri"/>
        </w:rPr>
        <w:t>⚓=[:Matra:]</w:t>
      </w:r>
    </w:p>
    <w:p w:rsidR="0005427D" w:rsidRDefault="0005427D" w:rsidP="00D7142E">
      <w:pPr>
        <w:ind w:left="720"/>
      </w:pPr>
      <w:r>
        <w:t xml:space="preserve">    [:Consonant:] </w:t>
      </w:r>
      <w:r>
        <w:rPr>
          <w:rFonts w:ascii="Calibri" w:hAnsi="Calibri" w:cs="Calibri"/>
        </w:rPr>
        <w:t>⚓=[:Anusvara:]</w:t>
      </w:r>
    </w:p>
    <w:p w:rsidR="0005427D" w:rsidRDefault="0005427D" w:rsidP="00D7142E">
      <w:pPr>
        <w:ind w:left="720"/>
      </w:pPr>
      <w:r>
        <w:t xml:space="preserve">    [:Consonant:] </w:t>
      </w:r>
      <w:r>
        <w:rPr>
          <w:rFonts w:ascii="Calibri" w:hAnsi="Calibri" w:cs="Calibri"/>
        </w:rPr>
        <w:t>⚓=[:Chillu:]</w:t>
      </w:r>
    </w:p>
    <w:p w:rsidR="0005427D" w:rsidRDefault="0005427D" w:rsidP="00D7142E">
      <w:pPr>
        <w:ind w:left="720"/>
      </w:pPr>
      <w:r>
        <w:t xml:space="preserve">    [:Matra:]  </w:t>
      </w:r>
      <w:r>
        <w:rPr>
          <w:rFonts w:ascii="Calibri" w:hAnsi="Calibri" w:cs="Calibri"/>
        </w:rPr>
        <w:t>⚓=[:Anusvara:]</w:t>
      </w:r>
    </w:p>
    <w:p w:rsidR="0005427D" w:rsidRDefault="0005427D" w:rsidP="00D7142E">
      <w:pPr>
        <w:ind w:left="720"/>
      </w:pPr>
      <w:r>
        <w:t xml:space="preserve">    [:Matra:]  </w:t>
      </w:r>
      <w:r>
        <w:rPr>
          <w:rFonts w:ascii="Calibri" w:hAnsi="Calibri" w:cs="Calibri"/>
        </w:rPr>
        <w:t>⚓=[:Visarga:]</w:t>
      </w:r>
    </w:p>
    <w:p w:rsidR="0005427D" w:rsidRDefault="0005427D" w:rsidP="00D7142E">
      <w:pPr>
        <w:ind w:left="720"/>
      </w:pPr>
      <w:r>
        <w:t xml:space="preserve">    [:Matra:]  </w:t>
      </w:r>
      <w:r>
        <w:rPr>
          <w:rFonts w:ascii="Calibri" w:hAnsi="Calibri" w:cs="Calibri"/>
        </w:rPr>
        <w:t>⚓=[:Chillu:]</w:t>
      </w:r>
    </w:p>
    <w:p w:rsidR="0005427D" w:rsidRDefault="0005427D" w:rsidP="00D7142E">
      <w:pPr>
        <w:ind w:left="720"/>
      </w:pPr>
      <w:r>
        <w:t xml:space="preserve">   [:Vowel:]  </w:t>
      </w:r>
      <w:r>
        <w:rPr>
          <w:rFonts w:ascii="Calibri" w:hAnsi="Calibri" w:cs="Calibri"/>
        </w:rPr>
        <w:t>⚓=[:Anusvara:]</w:t>
      </w:r>
    </w:p>
    <w:p w:rsidR="0005427D" w:rsidRDefault="0005427D" w:rsidP="00D7142E">
      <w:pPr>
        <w:ind w:left="720"/>
      </w:pPr>
      <w:r>
        <w:t xml:space="preserve">   [:Vowel:]  </w:t>
      </w:r>
      <w:r>
        <w:rPr>
          <w:rFonts w:ascii="Calibri" w:hAnsi="Calibri" w:cs="Calibri"/>
        </w:rPr>
        <w:t>⚓=[:Chillu:]</w:t>
      </w:r>
    </w:p>
    <w:p w:rsidR="0005427D" w:rsidRDefault="0005427D" w:rsidP="0005427D"/>
    <w:p w:rsidR="0005427D" w:rsidRDefault="0005427D">
      <w:r w:rsidRPr="00D7142E">
        <w:rPr>
          <w:b/>
          <w:bCs/>
        </w:rPr>
        <w:t>Corpus M</w:t>
      </w:r>
      <w:r>
        <w:t>:</w:t>
      </w:r>
      <w:r w:rsidR="00D7142E">
        <w:t xml:space="preserve"> this corpus has considerably more labels, did not use 0D4C, and contains “contaminants”, such as ASCII digits and punctuation. Nevertheless the number of invalid labels is rather low, indicating that the LGR rules do not appear to be overly restrictive.</w:t>
      </w:r>
    </w:p>
    <w:p w:rsidR="00D7142E" w:rsidRDefault="00D7142E" w:rsidP="00D7142E">
      <w:r>
        <w:t xml:space="preserve">    Total Labels processed: 59803 of which</w:t>
      </w:r>
    </w:p>
    <w:p w:rsidR="00D7142E" w:rsidRDefault="00D7142E" w:rsidP="00D7142E">
      <w:r>
        <w:t xml:space="preserve">         valid labels:   55044</w:t>
      </w:r>
    </w:p>
    <w:p w:rsidR="00D7142E" w:rsidRDefault="00D7142E">
      <w:r>
        <w:t xml:space="preserve">         invalid labels: 1512</w:t>
      </w:r>
    </w:p>
    <w:p w:rsidR="00D7142E" w:rsidRDefault="00D7142E" w:rsidP="00D7142E">
      <w:pPr>
        <w:ind w:left="1440"/>
      </w:pPr>
      <w:r>
        <w:t>Number of invalid labels by reason:</w:t>
      </w:r>
    </w:p>
    <w:p w:rsidR="00D7142E" w:rsidRDefault="00D7142E" w:rsidP="00D7142E">
      <w:pPr>
        <w:ind w:left="1440"/>
      </w:pPr>
      <w:r>
        <w:t xml:space="preserve">   1 instances of invalid context (follows-B-X-or-H)</w:t>
      </w:r>
    </w:p>
    <w:p w:rsidR="00D7142E" w:rsidRDefault="00D7142E" w:rsidP="00D7142E">
      <w:pPr>
        <w:ind w:left="1440"/>
      </w:pPr>
      <w:r>
        <w:t xml:space="preserve">   10 instances of invalid context (follows-only-C-V-or-M)</w:t>
      </w:r>
    </w:p>
    <w:p w:rsidR="00D7142E" w:rsidRDefault="00D7142E" w:rsidP="00D7142E">
      <w:pPr>
        <w:ind w:left="1440"/>
      </w:pPr>
      <w:r>
        <w:t xml:space="preserve">   1454 instances of not in repertoire</w:t>
      </w:r>
    </w:p>
    <w:p w:rsidR="00D7142E" w:rsidRDefault="00D7142E" w:rsidP="00D7142E">
      <w:pPr>
        <w:ind w:left="1440"/>
      </w:pPr>
      <w:r>
        <w:t xml:space="preserve">   39 instances of invalid context (follows-only-C-or-specific-CH-or-M)</w:t>
      </w:r>
    </w:p>
    <w:p w:rsidR="00D7142E" w:rsidRDefault="00D7142E" w:rsidP="00D7142E">
      <w:r>
        <w:t xml:space="preserve">         skipped labels: 3247 of which</w:t>
      </w:r>
    </w:p>
    <w:p w:rsidR="00D7142E" w:rsidRDefault="00D7142E" w:rsidP="00D7142E">
      <w:r>
        <w:t xml:space="preserve">            duplicate labels:      3157</w:t>
      </w:r>
    </w:p>
    <w:p w:rsidR="00D7142E" w:rsidRDefault="00D7142E" w:rsidP="00D7142E">
      <w:r>
        <w:t xml:space="preserve">            broken labels:         39</w:t>
      </w:r>
    </w:p>
    <w:p w:rsidR="00D7142E" w:rsidRDefault="00D7142E" w:rsidP="00D7142E">
      <w:r>
        <w:t xml:space="preserve">            contain join controls: 51</w:t>
      </w:r>
    </w:p>
    <w:p w:rsidR="00D7142E" w:rsidRDefault="00D7142E" w:rsidP="00D7142E">
      <w:r>
        <w:t xml:space="preserve">            start w/ wrong script: 0</w:t>
      </w:r>
    </w:p>
    <w:p w:rsidR="00D7142E" w:rsidRDefault="00D7142E" w:rsidP="00D7142E"/>
    <w:p w:rsidR="00D7142E" w:rsidRDefault="00D7142E" w:rsidP="00D7142E">
      <w:r>
        <w:t>Test Label Coverage:</w:t>
      </w:r>
    </w:p>
    <w:p w:rsidR="00D7142E" w:rsidRDefault="00D7142E" w:rsidP="00D7142E">
      <w:r>
        <w:t xml:space="preserve">Repertoire (code points):  69 </w:t>
      </w:r>
      <w:proofErr w:type="gramStart"/>
      <w:r>
        <w:t>of  70</w:t>
      </w:r>
      <w:proofErr w:type="gramEnd"/>
      <w:r>
        <w:t>. {0D02-0D03 0D05-0D0B 0D0E-0D10 0D12-0D28 0D2A-0D39 0D3E-0D43 0D46-0D48 0D4A-0D4B 0D4D 0D57 0D7A-...}</w:t>
      </w:r>
    </w:p>
    <w:p w:rsidR="00D7142E" w:rsidRDefault="00D7142E" w:rsidP="00D7142E">
      <w:r>
        <w:t xml:space="preserve">Repertoire not covered:    1 </w:t>
      </w:r>
      <w:proofErr w:type="gramStart"/>
      <w:r>
        <w:t>of  70</w:t>
      </w:r>
      <w:proofErr w:type="gramEnd"/>
      <w:r>
        <w:t>. {0D7F}</w:t>
      </w:r>
    </w:p>
    <w:p w:rsidR="00D7142E" w:rsidRDefault="00D7142E" w:rsidP="00D7142E">
      <w:r>
        <w:t>Out of Repertoire:         18. [{0020 0022 0029 002B 002D-002F 0031-0037 003A 003C 003E-003F}]</w:t>
      </w:r>
    </w:p>
    <w:p w:rsidR="00D7142E" w:rsidRDefault="00D7142E" w:rsidP="00D7142E">
      <w:r>
        <w:t>Contexts encountered:</w:t>
      </w:r>
    </w:p>
    <w:p w:rsidR="00D7142E" w:rsidRDefault="00D7142E" w:rsidP="00D7142E">
      <w:r>
        <w:t xml:space="preserve">  Contexts matching rule "follows-only-C-V-or-M":</w:t>
      </w:r>
    </w:p>
    <w:p w:rsidR="00D7142E" w:rsidRDefault="00D7142E" w:rsidP="00D7142E">
      <w:r>
        <w:t xml:space="preserve">    [</w:t>
      </w:r>
      <w:proofErr w:type="gramStart"/>
      <w:r>
        <w:t>:Consonant</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:Anusvara:]</w:t>
      </w:r>
    </w:p>
    <w:p w:rsidR="00D7142E" w:rsidRDefault="00D7142E" w:rsidP="00D7142E">
      <w:r>
        <w:t xml:space="preserve">    [</w:t>
      </w:r>
      <w:proofErr w:type="gramStart"/>
      <w:r>
        <w:t>:Consonant</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:Visarga:]</w:t>
      </w:r>
    </w:p>
    <w:p w:rsidR="00D7142E" w:rsidRDefault="00D7142E" w:rsidP="00D7142E">
      <w:r>
        <w:t xml:space="preserve">    [</w:t>
      </w:r>
      <w:proofErr w:type="gramStart"/>
      <w:r>
        <w:t>:Matra</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:Anusvara:]</w:t>
      </w:r>
    </w:p>
    <w:p w:rsidR="00D7142E" w:rsidRDefault="00D7142E" w:rsidP="00D7142E">
      <w:r>
        <w:t xml:space="preserve">    [</w:t>
      </w:r>
      <w:proofErr w:type="gramStart"/>
      <w:r>
        <w:t>:Matra</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:Visarga:]</w:t>
      </w:r>
    </w:p>
    <w:p w:rsidR="00D7142E" w:rsidRDefault="00D7142E" w:rsidP="00D7142E">
      <w:r>
        <w:t xml:space="preserve">    [</w:t>
      </w:r>
      <w:proofErr w:type="gramStart"/>
      <w:r>
        <w:t>:Vowel</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:Anusvara:]</w:t>
      </w:r>
    </w:p>
    <w:p w:rsidR="00D7142E" w:rsidRDefault="00D7142E" w:rsidP="00D7142E">
      <w:r>
        <w:t xml:space="preserve">  Contexts matching rule "follows-only-C":</w:t>
      </w:r>
    </w:p>
    <w:p w:rsidR="00D7142E" w:rsidRDefault="00D7142E" w:rsidP="00D7142E">
      <w:r>
        <w:t xml:space="preserve">    [</w:t>
      </w:r>
      <w:proofErr w:type="gramStart"/>
      <w:r>
        <w:t>:Consonant</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:Matra:]</w:t>
      </w:r>
    </w:p>
    <w:p w:rsidR="00D7142E" w:rsidRDefault="00D7142E" w:rsidP="00D7142E">
      <w:r>
        <w:t xml:space="preserve">  Contexts matching rule "follows-only-C-or-specific-CH-or-M":</w:t>
      </w:r>
    </w:p>
    <w:p w:rsidR="00D7142E" w:rsidRDefault="00D7142E" w:rsidP="00D7142E">
      <w:r>
        <w:t xml:space="preserve">    [</w:t>
      </w:r>
      <w:proofErr w:type="gramStart"/>
      <w:r>
        <w:t>:Consonant</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:Halant:]</w:t>
      </w:r>
    </w:p>
    <w:p w:rsidR="00D7142E" w:rsidRDefault="00D7142E" w:rsidP="00D7142E">
      <w:r>
        <w:t xml:space="preserve">    [</w:t>
      </w:r>
      <w:proofErr w:type="gramStart"/>
      <w:r>
        <w:t>:Matra</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:Halant:]</w:t>
      </w:r>
    </w:p>
    <w:p w:rsidR="00D7142E" w:rsidRDefault="00D7142E" w:rsidP="00D7142E">
      <w:r>
        <w:t xml:space="preserve">  Contexts matching rule "follows-B-X-or-H":</w:t>
      </w:r>
    </w:p>
    <w:p w:rsidR="00D7142E" w:rsidRDefault="00D7142E" w:rsidP="00D7142E">
      <w:r>
        <w:t xml:space="preserve">    [</w:t>
      </w:r>
      <w:proofErr w:type="gramStart"/>
      <w:r>
        <w:t>:Anusvara</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:Chillu:]</w:t>
      </w:r>
    </w:p>
    <w:p w:rsidR="00D7142E" w:rsidRDefault="00D7142E" w:rsidP="00D7142E">
      <w:r>
        <w:t xml:space="preserve">  Contexts not matching rule "follows-B-X-or-H":</w:t>
      </w:r>
    </w:p>
    <w:p w:rsidR="00D7142E" w:rsidRDefault="00D7142E" w:rsidP="00D7142E">
      <w:r>
        <w:t xml:space="preserve">    [</w:t>
      </w:r>
      <w:proofErr w:type="gramStart"/>
      <w:r>
        <w:t>:Chillu</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:Chillu:]</w:t>
      </w:r>
    </w:p>
    <w:p w:rsidR="00D7142E" w:rsidRDefault="00D7142E" w:rsidP="00D7142E">
      <w:r>
        <w:t xml:space="preserve">    [</w:t>
      </w:r>
      <w:proofErr w:type="gramStart"/>
      <w:r>
        <w:t>:Consonant</w:t>
      </w:r>
      <w:proofErr w:type="gramEnd"/>
      <w:r>
        <w:t xml:space="preserve">:] </w:t>
      </w:r>
      <w:r>
        <w:rPr>
          <w:rFonts w:ascii="Calibri" w:hAnsi="Calibri" w:cs="Calibri"/>
        </w:rPr>
        <w:t>⚓</w:t>
      </w:r>
      <w:proofErr w:type="gramStart"/>
      <w:r>
        <w:t>=[</w:t>
      </w:r>
      <w:proofErr w:type="gramEnd"/>
      <w:r>
        <w:t>:Chillu:]</w:t>
      </w:r>
    </w:p>
    <w:p w:rsidR="00D7142E" w:rsidRDefault="00D7142E" w:rsidP="00D7142E">
      <w:r>
        <w:t xml:space="preserve">    [</w:t>
      </w:r>
      <w:proofErr w:type="gramStart"/>
      <w:r>
        <w:t>:Matra</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:Chillu:]</w:t>
      </w:r>
    </w:p>
    <w:p w:rsidR="00D7142E" w:rsidRDefault="00D7142E" w:rsidP="00D7142E">
      <w:r>
        <w:t xml:space="preserve">    [</w:t>
      </w:r>
      <w:proofErr w:type="gramStart"/>
      <w:r>
        <w:t>:Vowel</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:Chillu:]</w:t>
      </w:r>
    </w:p>
    <w:p w:rsidR="00D7142E" w:rsidRDefault="00D7142E" w:rsidP="00D7142E">
      <w:r>
        <w:t xml:space="preserve">  Contexts not matching rule "follows-only-C-or-specific-CH-or-M":</w:t>
      </w:r>
    </w:p>
    <w:p w:rsidR="00D7142E" w:rsidRDefault="00D7142E" w:rsidP="00D7142E">
      <w:r>
        <w:t xml:space="preserve">    [</w:t>
      </w:r>
      <w:proofErr w:type="gramStart"/>
      <w:r>
        <w:t>:Chillu</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:Halant:]</w:t>
      </w:r>
    </w:p>
    <w:p w:rsidR="00D7142E" w:rsidRDefault="00D7142E" w:rsidP="00D7142E">
      <w:r>
        <w:t xml:space="preserve">    [</w:t>
      </w:r>
      <w:proofErr w:type="gramStart"/>
      <w:r>
        <w:t>:Matra</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:Halant:]</w:t>
      </w:r>
    </w:p>
    <w:p w:rsidR="00D7142E" w:rsidRDefault="00D7142E" w:rsidP="00D7142E">
      <w:r>
        <w:t xml:space="preserve">  Contexts not matching rule "follows-only-C-V-or-M":</w:t>
      </w:r>
    </w:p>
    <w:p w:rsidR="00D7142E" w:rsidRDefault="00D7142E" w:rsidP="00D7142E">
      <w:r>
        <w:t xml:space="preserve">    [</w:t>
      </w:r>
      <w:proofErr w:type="gramStart"/>
      <w:r>
        <w:t>:Chillu</w:t>
      </w:r>
      <w:proofErr w:type="gramEnd"/>
      <w:r>
        <w:t xml:space="preserve">:] </w:t>
      </w:r>
      <w:r>
        <w:rPr>
          <w:rFonts w:ascii="Calibri" w:hAnsi="Calibri" w:cs="Calibri"/>
        </w:rPr>
        <w:t>⚓</w:t>
      </w:r>
      <w:proofErr w:type="gramStart"/>
      <w:r>
        <w:rPr>
          <w:rFonts w:ascii="Calibri" w:hAnsi="Calibri" w:cs="Calibri"/>
        </w:rPr>
        <w:t>=[</w:t>
      </w:r>
      <w:proofErr w:type="gramEnd"/>
      <w:r>
        <w:rPr>
          <w:rFonts w:ascii="Calibri" w:hAnsi="Calibri" w:cs="Calibri"/>
        </w:rPr>
        <w:t>:Anusvara:]</w:t>
      </w:r>
    </w:p>
    <w:p w:rsidR="00D7142E" w:rsidRDefault="00D7142E" w:rsidP="00D7142E">
      <w:r>
        <w:t xml:space="preserve">    [:Halant:] </w:t>
      </w:r>
      <w:r>
        <w:rPr>
          <w:rFonts w:ascii="Calibri" w:hAnsi="Calibri" w:cs="Calibri"/>
        </w:rPr>
        <w:t>⚓=[:Anusvara:]</w:t>
      </w:r>
      <w:bookmarkStart w:id="2" w:name="_GoBack"/>
      <w:bookmarkEnd w:id="2"/>
    </w:p>
    <w:sectPr w:rsidR="00D7142E" w:rsidSect="00876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Kartika">
    <w:panose1 w:val="02020503030404060203"/>
    <w:charset w:val="00"/>
    <w:family w:val="roman"/>
    <w:pitch w:val="variable"/>
    <w:sig w:usb0="008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DB1"/>
    <w:multiLevelType w:val="hybridMultilevel"/>
    <w:tmpl w:val="69A44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145C8"/>
    <w:multiLevelType w:val="hybridMultilevel"/>
    <w:tmpl w:val="9E024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B7361"/>
    <w:multiLevelType w:val="hybridMultilevel"/>
    <w:tmpl w:val="5F66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03A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3CA53E7"/>
    <w:multiLevelType w:val="hybridMultilevel"/>
    <w:tmpl w:val="0B9474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109F5"/>
    <w:multiLevelType w:val="hybridMultilevel"/>
    <w:tmpl w:val="786EA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111A2"/>
    <w:multiLevelType w:val="hybridMultilevel"/>
    <w:tmpl w:val="60AAB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E3575"/>
    <w:multiLevelType w:val="hybridMultilevel"/>
    <w:tmpl w:val="FBF80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72DD3"/>
    <w:multiLevelType w:val="hybridMultilevel"/>
    <w:tmpl w:val="69A44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2425AE"/>
    <w:multiLevelType w:val="hybridMultilevel"/>
    <w:tmpl w:val="89E223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FB3DA8"/>
    <w:multiLevelType w:val="hybridMultilevel"/>
    <w:tmpl w:val="293C6D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8"/>
  </w:num>
  <w:num w:numId="6">
    <w:abstractNumId w:val="5"/>
  </w:num>
  <w:num w:numId="7">
    <w:abstractNumId w:val="10"/>
  </w:num>
  <w:num w:numId="8">
    <w:abstractNumId w:val="6"/>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trackRevisions/>
  <w:doNotTrackFormatting/>
  <w:defaultTabStop w:val="720"/>
  <w:characterSpacingControl w:val="doNotCompress"/>
  <w:compat/>
  <w:rsids>
    <w:rsidRoot w:val="00A721ED"/>
    <w:rsid w:val="0005427D"/>
    <w:rsid w:val="000A2F01"/>
    <w:rsid w:val="000B7E40"/>
    <w:rsid w:val="00241F9F"/>
    <w:rsid w:val="002E28A1"/>
    <w:rsid w:val="00326392"/>
    <w:rsid w:val="00364AD1"/>
    <w:rsid w:val="00377A18"/>
    <w:rsid w:val="003929D7"/>
    <w:rsid w:val="005177EB"/>
    <w:rsid w:val="00532821"/>
    <w:rsid w:val="00571B3F"/>
    <w:rsid w:val="005B6D75"/>
    <w:rsid w:val="005D01A3"/>
    <w:rsid w:val="00670774"/>
    <w:rsid w:val="006762FE"/>
    <w:rsid w:val="006C08F7"/>
    <w:rsid w:val="007213A7"/>
    <w:rsid w:val="007F42FF"/>
    <w:rsid w:val="00830B79"/>
    <w:rsid w:val="00876384"/>
    <w:rsid w:val="0095683F"/>
    <w:rsid w:val="009625D2"/>
    <w:rsid w:val="009D484C"/>
    <w:rsid w:val="00A057D2"/>
    <w:rsid w:val="00A721ED"/>
    <w:rsid w:val="00AC274B"/>
    <w:rsid w:val="00AD1FD6"/>
    <w:rsid w:val="00B60953"/>
    <w:rsid w:val="00BC02A7"/>
    <w:rsid w:val="00CB7A2C"/>
    <w:rsid w:val="00CC3291"/>
    <w:rsid w:val="00D7142E"/>
    <w:rsid w:val="00FD7463"/>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ED"/>
    <w:rPr>
      <w:rFonts w:eastAsiaTheme="minorEastAsia"/>
      <w:lang w:bidi="en-US"/>
    </w:rPr>
  </w:style>
  <w:style w:type="paragraph" w:styleId="Heading1">
    <w:name w:val="heading 1"/>
    <w:basedOn w:val="Normal"/>
    <w:next w:val="Normal"/>
    <w:link w:val="Heading1Char"/>
    <w:uiPriority w:val="9"/>
    <w:qFormat/>
    <w:rsid w:val="00A721E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1E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21E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21E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21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1E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1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1ED"/>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721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1ED"/>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A721ED"/>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A721ED"/>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A721ED"/>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A721ED"/>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A721ED"/>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A721ED"/>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A721ED"/>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A721ED"/>
    <w:rPr>
      <w:rFonts w:asciiTheme="majorHAnsi" w:eastAsiaTheme="majorEastAsia" w:hAnsiTheme="majorHAnsi" w:cstheme="majorBidi"/>
      <w:i/>
      <w:iCs/>
      <w:color w:val="404040" w:themeColor="text1" w:themeTint="BF"/>
      <w:sz w:val="20"/>
      <w:szCs w:val="20"/>
      <w:lang w:bidi="en-US"/>
    </w:rPr>
  </w:style>
  <w:style w:type="paragraph" w:styleId="Title">
    <w:name w:val="Title"/>
    <w:basedOn w:val="Normal"/>
    <w:next w:val="Normal"/>
    <w:link w:val="TitleChar"/>
    <w:uiPriority w:val="10"/>
    <w:qFormat/>
    <w:rsid w:val="00A72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1ED"/>
    <w:rPr>
      <w:rFonts w:asciiTheme="majorHAnsi" w:eastAsiaTheme="majorEastAsia" w:hAnsiTheme="majorHAnsi" w:cstheme="majorBidi"/>
      <w:color w:val="17365D" w:themeColor="text2" w:themeShade="BF"/>
      <w:spacing w:val="5"/>
      <w:kern w:val="28"/>
      <w:sz w:val="52"/>
      <w:szCs w:val="52"/>
      <w:lang w:bidi="en-US"/>
    </w:rPr>
  </w:style>
  <w:style w:type="table" w:styleId="TableGrid">
    <w:name w:val="Table Grid"/>
    <w:basedOn w:val="TableNormal"/>
    <w:uiPriority w:val="59"/>
    <w:rsid w:val="00A721ED"/>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1ED"/>
    <w:pPr>
      <w:ind w:left="720"/>
      <w:contextualSpacing/>
    </w:pPr>
  </w:style>
  <w:style w:type="paragraph" w:styleId="NoSpacing">
    <w:name w:val="No Spacing"/>
    <w:uiPriority w:val="1"/>
    <w:qFormat/>
    <w:rsid w:val="00A721ED"/>
    <w:pPr>
      <w:spacing w:after="0" w:line="240" w:lineRule="auto"/>
    </w:pPr>
    <w:rPr>
      <w:rFonts w:eastAsiaTheme="minorEastAsia"/>
      <w:lang w:bidi="en-US"/>
    </w:rPr>
  </w:style>
  <w:style w:type="paragraph" w:styleId="BalloonText">
    <w:name w:val="Balloon Text"/>
    <w:basedOn w:val="Normal"/>
    <w:link w:val="BalloonTextChar"/>
    <w:uiPriority w:val="99"/>
    <w:semiHidden/>
    <w:unhideWhenUsed/>
    <w:rsid w:val="00A7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ED"/>
    <w:rPr>
      <w:rFonts w:ascii="Tahoma" w:eastAsiaTheme="minorEastAsia" w:hAnsi="Tahoma" w:cs="Tahoma"/>
      <w:sz w:val="16"/>
      <w:szCs w:val="16"/>
      <w:lang w:bidi="en-US"/>
    </w:rPr>
  </w:style>
  <w:style w:type="paragraph" w:styleId="Subtitle">
    <w:name w:val="Subtitle"/>
    <w:basedOn w:val="Normal"/>
    <w:next w:val="Normal"/>
    <w:link w:val="SubtitleChar"/>
    <w:uiPriority w:val="11"/>
    <w:qFormat/>
    <w:rsid w:val="009D48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484C"/>
    <w:rPr>
      <w:rFonts w:asciiTheme="majorHAnsi" w:eastAsiaTheme="majorEastAsia" w:hAnsiTheme="majorHAnsi" w:cstheme="majorBidi"/>
      <w:i/>
      <w:iCs/>
      <w:color w:val="4F81BD" w:themeColor="accent1"/>
      <w:spacing w:val="15"/>
      <w:sz w:val="24"/>
      <w:szCs w:val="24"/>
      <w:lang w:bidi="en-US"/>
    </w:rPr>
  </w:style>
  <w:style w:type="paragraph" w:styleId="CommentText">
    <w:name w:val="annotation text"/>
    <w:basedOn w:val="Normal"/>
    <w:link w:val="CommentTextChar"/>
    <w:uiPriority w:val="99"/>
    <w:semiHidden/>
    <w:unhideWhenUsed/>
    <w:rsid w:val="00241F9F"/>
    <w:pPr>
      <w:spacing w:after="0" w:line="240" w:lineRule="auto"/>
    </w:pPr>
    <w:rPr>
      <w:rFonts w:ascii="Arial" w:eastAsia="Arial" w:hAnsi="Arial" w:cs="Cordia New"/>
      <w:sz w:val="20"/>
      <w:szCs w:val="25"/>
      <w:lang w:val="en-GB" w:bidi="th-TH"/>
    </w:rPr>
  </w:style>
  <w:style w:type="character" w:customStyle="1" w:styleId="CommentTextChar">
    <w:name w:val="Comment Text Char"/>
    <w:basedOn w:val="DefaultParagraphFont"/>
    <w:link w:val="CommentText"/>
    <w:uiPriority w:val="99"/>
    <w:semiHidden/>
    <w:rsid w:val="00241F9F"/>
    <w:rPr>
      <w:rFonts w:ascii="Arial" w:eastAsia="Arial" w:hAnsi="Arial" w:cs="Cordia New"/>
      <w:sz w:val="20"/>
      <w:szCs w:val="25"/>
      <w:lang w:val="en-GB" w:bidi="th-TH"/>
    </w:rPr>
  </w:style>
  <w:style w:type="character" w:styleId="CommentReference">
    <w:name w:val="annotation reference"/>
    <w:basedOn w:val="DefaultParagraphFont"/>
    <w:uiPriority w:val="99"/>
    <w:semiHidden/>
    <w:unhideWhenUsed/>
    <w:rsid w:val="00241F9F"/>
    <w:rPr>
      <w:sz w:val="16"/>
      <w:szCs w:val="16"/>
    </w:rPr>
  </w:style>
  <w:style w:type="character" w:styleId="Hyperlink">
    <w:name w:val="Hyperlink"/>
    <w:basedOn w:val="DefaultParagraphFont"/>
    <w:uiPriority w:val="99"/>
    <w:unhideWhenUsed/>
    <w:rsid w:val="009625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47606">
      <w:bodyDiv w:val="1"/>
      <w:marLeft w:val="0"/>
      <w:marRight w:val="0"/>
      <w:marTop w:val="0"/>
      <w:marBottom w:val="0"/>
      <w:divBdr>
        <w:top w:val="none" w:sz="0" w:space="0" w:color="auto"/>
        <w:left w:val="none" w:sz="0" w:space="0" w:color="auto"/>
        <w:bottom w:val="none" w:sz="0" w:space="0" w:color="auto"/>
        <w:right w:val="none" w:sz="0" w:space="0" w:color="auto"/>
      </w:divBdr>
    </w:div>
    <w:div w:id="626620782">
      <w:bodyDiv w:val="1"/>
      <w:marLeft w:val="0"/>
      <w:marRight w:val="0"/>
      <w:marTop w:val="0"/>
      <w:marBottom w:val="0"/>
      <w:divBdr>
        <w:top w:val="none" w:sz="0" w:space="0" w:color="auto"/>
        <w:left w:val="none" w:sz="0" w:space="0" w:color="auto"/>
        <w:bottom w:val="none" w:sz="0" w:space="0" w:color="auto"/>
        <w:right w:val="none" w:sz="0" w:space="0" w:color="auto"/>
      </w:divBdr>
    </w:div>
    <w:div w:id="869027490">
      <w:bodyDiv w:val="1"/>
      <w:marLeft w:val="0"/>
      <w:marRight w:val="0"/>
      <w:marTop w:val="0"/>
      <w:marBottom w:val="0"/>
      <w:divBdr>
        <w:top w:val="none" w:sz="0" w:space="0" w:color="auto"/>
        <w:left w:val="none" w:sz="0" w:space="0" w:color="auto"/>
        <w:bottom w:val="none" w:sz="0" w:space="0" w:color="auto"/>
        <w:right w:val="none" w:sz="0" w:space="0" w:color="auto"/>
      </w:divBdr>
    </w:div>
    <w:div w:id="889995083">
      <w:bodyDiv w:val="1"/>
      <w:marLeft w:val="0"/>
      <w:marRight w:val="0"/>
      <w:marTop w:val="0"/>
      <w:marBottom w:val="0"/>
      <w:divBdr>
        <w:top w:val="none" w:sz="0" w:space="0" w:color="auto"/>
        <w:left w:val="none" w:sz="0" w:space="0" w:color="auto"/>
        <w:bottom w:val="none" w:sz="0" w:space="0" w:color="auto"/>
        <w:right w:val="none" w:sz="0" w:space="0" w:color="auto"/>
      </w:divBdr>
    </w:div>
    <w:div w:id="1063287324">
      <w:bodyDiv w:val="1"/>
      <w:marLeft w:val="0"/>
      <w:marRight w:val="0"/>
      <w:marTop w:val="0"/>
      <w:marBottom w:val="0"/>
      <w:divBdr>
        <w:top w:val="none" w:sz="0" w:space="0" w:color="auto"/>
        <w:left w:val="none" w:sz="0" w:space="0" w:color="auto"/>
        <w:bottom w:val="none" w:sz="0" w:space="0" w:color="auto"/>
        <w:right w:val="none" w:sz="0" w:space="0" w:color="auto"/>
      </w:divBdr>
    </w:div>
    <w:div w:id="1269655755">
      <w:bodyDiv w:val="1"/>
      <w:marLeft w:val="0"/>
      <w:marRight w:val="0"/>
      <w:marTop w:val="0"/>
      <w:marBottom w:val="0"/>
      <w:divBdr>
        <w:top w:val="none" w:sz="0" w:space="0" w:color="auto"/>
        <w:left w:val="none" w:sz="0" w:space="0" w:color="auto"/>
        <w:bottom w:val="none" w:sz="0" w:space="0" w:color="auto"/>
        <w:right w:val="none" w:sz="0" w:space="0" w:color="auto"/>
      </w:divBdr>
    </w:div>
    <w:div w:id="1474902917">
      <w:bodyDiv w:val="1"/>
      <w:marLeft w:val="0"/>
      <w:marRight w:val="0"/>
      <w:marTop w:val="0"/>
      <w:marBottom w:val="0"/>
      <w:divBdr>
        <w:top w:val="none" w:sz="0" w:space="0" w:color="auto"/>
        <w:left w:val="none" w:sz="0" w:space="0" w:color="auto"/>
        <w:bottom w:val="none" w:sz="0" w:space="0" w:color="auto"/>
        <w:right w:val="none" w:sz="0" w:space="0" w:color="auto"/>
      </w:divBdr>
    </w:div>
    <w:div w:id="1583492231">
      <w:bodyDiv w:val="1"/>
      <w:marLeft w:val="0"/>
      <w:marRight w:val="0"/>
      <w:marTop w:val="0"/>
      <w:marBottom w:val="0"/>
      <w:divBdr>
        <w:top w:val="none" w:sz="0" w:space="0" w:color="auto"/>
        <w:left w:val="none" w:sz="0" w:space="0" w:color="auto"/>
        <w:bottom w:val="none" w:sz="0" w:space="0" w:color="auto"/>
        <w:right w:val="none" w:sz="0" w:space="0" w:color="auto"/>
      </w:divBdr>
    </w:div>
    <w:div w:id="1805583145">
      <w:bodyDiv w:val="1"/>
      <w:marLeft w:val="0"/>
      <w:marRight w:val="0"/>
      <w:marTop w:val="0"/>
      <w:marBottom w:val="0"/>
      <w:divBdr>
        <w:top w:val="none" w:sz="0" w:space="0" w:color="auto"/>
        <w:left w:val="none" w:sz="0" w:space="0" w:color="auto"/>
        <w:bottom w:val="none" w:sz="0" w:space="0" w:color="auto"/>
        <w:right w:val="none" w:sz="0" w:space="0" w:color="auto"/>
      </w:divBdr>
    </w:div>
    <w:div w:id="1883469608">
      <w:bodyDiv w:val="1"/>
      <w:marLeft w:val="0"/>
      <w:marRight w:val="0"/>
      <w:marTop w:val="0"/>
      <w:marBottom w:val="0"/>
      <w:divBdr>
        <w:top w:val="none" w:sz="0" w:space="0" w:color="auto"/>
        <w:left w:val="none" w:sz="0" w:space="0" w:color="auto"/>
        <w:bottom w:val="none" w:sz="0" w:space="0" w:color="auto"/>
        <w:right w:val="none" w:sz="0" w:space="0" w:color="auto"/>
      </w:divBdr>
    </w:div>
    <w:div w:id="1937980070">
      <w:bodyDiv w:val="1"/>
      <w:marLeft w:val="0"/>
      <w:marRight w:val="0"/>
      <w:marTop w:val="0"/>
      <w:marBottom w:val="0"/>
      <w:divBdr>
        <w:top w:val="none" w:sz="0" w:space="0" w:color="auto"/>
        <w:left w:val="none" w:sz="0" w:space="0" w:color="auto"/>
        <w:bottom w:val="none" w:sz="0" w:space="0" w:color="auto"/>
        <w:right w:val="none" w:sz="0" w:space="0" w:color="auto"/>
      </w:divBdr>
    </w:div>
    <w:div w:id="19943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src\idntables\test\LGR-3\staging4-NeoB\Element\lgr-3-Malayalam-Script-2018-05-20-en.htm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src\idntables\test\LGR-3\staging4-NeoB\Element\lgr-3-Malayalam-Script-2018-05-20-en.html" TargetMode="External"/><Relationship Id="rId12" Type="http://schemas.openxmlformats.org/officeDocument/2006/relationships/hyperlink" Target="file:///C:\src\idntables\test\LGR-3\staging4-NeoB\Element\lgr-3-Malayalam-Script-2018-05-20-en.html" TargetMode="External"/><Relationship Id="rId17" Type="http://schemas.openxmlformats.org/officeDocument/2006/relationships/hyperlink" Target="https://www.unicode.org/L2/L2005/05213-samvruktokaram.pdf" TargetMode="External"/><Relationship Id="rId2" Type="http://schemas.openxmlformats.org/officeDocument/2006/relationships/numbering" Target="numbering.xml"/><Relationship Id="rId16" Type="http://schemas.openxmlformats.org/officeDocument/2006/relationships/hyperlink" Target="file:///C:\src\idntables\test\LGR-3\staging4-NeoB\Element\lgr-3-Malayalam-Script-2018-05-20-en.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src\idntables\test\LGR-3\staging4-NeoB\Element\lgr-3-Malayalam-Script-2018-05-20-en.html" TargetMode="External"/><Relationship Id="rId5" Type="http://schemas.openxmlformats.org/officeDocument/2006/relationships/webSettings" Target="webSettings.xml"/><Relationship Id="rId15" Type="http://schemas.openxmlformats.org/officeDocument/2006/relationships/hyperlink" Target="file:///C:\src\idntables\test\LGR-3\staging4-NeoB\Element\lgr-3-Malayalam-Script-2018-05-20-en.html" TargetMode="External"/><Relationship Id="rId10" Type="http://schemas.openxmlformats.org/officeDocument/2006/relationships/hyperlink" Target="file:///C:\src\idntables\test\LGR-3\staging4-NeoB\Element\lgr-3-Malayalam-Script-2018-05-20-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src\idntables\test\LGR-3\staging4-NeoB\Element\lgr-3-Malayalam-Script-2018-05-20-en.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95DE6-B143-42A9-8F92-1E7981B7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asmusf</cp:lastModifiedBy>
  <cp:revision>4</cp:revision>
  <dcterms:created xsi:type="dcterms:W3CDTF">2018-05-24T18:20:00Z</dcterms:created>
  <dcterms:modified xsi:type="dcterms:W3CDTF">2018-05-24T18:22:00Z</dcterms:modified>
</cp:coreProperties>
</file>